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CE" w:rsidRPr="008D48CE" w:rsidRDefault="008D48CE" w:rsidP="008D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48CE">
        <w:rPr>
          <w:rFonts w:ascii="Arial" w:eastAsia="Times New Roman" w:hAnsi="Arial" w:cs="Arial"/>
          <w:b/>
          <w:color w:val="0000FF"/>
          <w:sz w:val="24"/>
          <w:szCs w:val="24"/>
        </w:rPr>
        <w:t>Tiến độ gieo trồng cây nông nghiệp đến ngày 15 tháng 12 năm 2013 </w:t>
      </w:r>
    </w:p>
    <w:p w:rsidR="008D48CE" w:rsidRPr="008D48CE" w:rsidRDefault="008D48CE" w:rsidP="008D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48C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814" w:type="dxa"/>
        <w:jc w:val="center"/>
        <w:tblInd w:w="108" w:type="dxa"/>
        <w:tblLook w:val="04A0"/>
      </w:tblPr>
      <w:tblGrid>
        <w:gridCol w:w="528"/>
        <w:gridCol w:w="4108"/>
        <w:gridCol w:w="1556"/>
        <w:gridCol w:w="1520"/>
        <w:gridCol w:w="2102"/>
      </w:tblGrid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D48C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này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cùng kỳ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trước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CE" w:rsidRPr="008D48CE" w:rsidRDefault="008D48CE" w:rsidP="008D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trước (%)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 Gieo cấy lúa đông xuân ở miền Nam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1293,1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938,3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72,6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   Trong đó:</w:t>
            </w: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Đồng bằng sông Cửu Long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1259,6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869,6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69,0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4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 Gieo trồng một số cây vụ đông ở miền Bắc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40,2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86,6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40,6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8,7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116,0</w:t>
            </w:r>
          </w:p>
        </w:tc>
      </w:tr>
      <w:tr w:rsidR="008D48CE" w:rsidRPr="008D48CE" w:rsidTr="008D48CE">
        <w:trPr>
          <w:trHeight w:val="402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đậu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172,9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</w:tr>
      <w:tr w:rsidR="008D48CE" w:rsidRPr="008D48CE" w:rsidTr="008D48CE">
        <w:trPr>
          <w:trHeight w:val="435"/>
          <w:jc w:val="center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CE" w:rsidRPr="008D48CE" w:rsidRDefault="008D48CE" w:rsidP="008D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8CE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D48CE" w:rsidRPr="008D48CE" w:rsidRDefault="008D48CE" w:rsidP="008D4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48CE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D48CE"/>
    <w:rsid w:val="00417886"/>
    <w:rsid w:val="008D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Home Unlimited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2013-12-24T02:37:00Z</dcterms:created>
  <dcterms:modified xsi:type="dcterms:W3CDTF">2013-12-24T02:38:00Z</dcterms:modified>
</cp:coreProperties>
</file>