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4" w:type="dxa"/>
        <w:tblInd w:w="108" w:type="dxa"/>
        <w:tblLook w:val="01E0"/>
      </w:tblPr>
      <w:tblGrid>
        <w:gridCol w:w="9324"/>
      </w:tblGrid>
      <w:tr w:rsidR="00C40896" w:rsidRPr="00537CF9" w:rsidTr="00C40896">
        <w:tc>
          <w:tcPr>
            <w:tcW w:w="9324" w:type="dxa"/>
          </w:tcPr>
          <w:tbl>
            <w:tblPr>
              <w:tblW w:w="9000" w:type="dxa"/>
              <w:tblInd w:w="108" w:type="dxa"/>
              <w:tblLook w:val="01E0"/>
            </w:tblPr>
            <w:tblGrid>
              <w:gridCol w:w="2824"/>
              <w:gridCol w:w="236"/>
              <w:gridCol w:w="5940"/>
            </w:tblGrid>
            <w:tr w:rsidR="00C40896" w:rsidRPr="00FE789A" w:rsidTr="00732235">
              <w:tc>
                <w:tcPr>
                  <w:tcW w:w="2824" w:type="dxa"/>
                </w:tcPr>
                <w:p w:rsidR="00C40896" w:rsidRPr="00FE789A" w:rsidRDefault="00C40896" w:rsidP="007322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FE789A">
                    <w:rPr>
                      <w:b/>
                      <w:sz w:val="26"/>
                      <w:szCs w:val="26"/>
                    </w:rPr>
                    <w:t>BỘ TÀI CHÍNH</w:t>
                  </w:r>
                </w:p>
                <w:p w:rsidR="00C40896" w:rsidRPr="00FE789A" w:rsidRDefault="005E6E84" w:rsidP="00732235">
                  <w:pPr>
                    <w:jc w:val="center"/>
                    <w:rPr>
                      <w:sz w:val="28"/>
                      <w:szCs w:val="28"/>
                    </w:rPr>
                  </w:pPr>
                  <w:r w:rsidRPr="005E6E84">
                    <w:rPr>
                      <w:b/>
                      <w:noProof/>
                      <w:sz w:val="28"/>
                      <w:szCs w:val="28"/>
                    </w:rPr>
                    <w:pict>
                      <v:line id="_x0000_s1038" style="position:absolute;left:0;text-align:left;z-index:251661824" from="45pt,4.2pt" to="90pt,4.2pt"/>
                    </w:pict>
                  </w:r>
                </w:p>
                <w:p w:rsidR="00C40896" w:rsidRPr="00FE789A" w:rsidRDefault="00C40896" w:rsidP="00732235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</w:tcPr>
                <w:p w:rsidR="00C40896" w:rsidRPr="00FE789A" w:rsidRDefault="00C40896" w:rsidP="007322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C40896" w:rsidRPr="00FE789A" w:rsidRDefault="00C40896" w:rsidP="007322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FE789A">
                    <w:rPr>
                      <w:b/>
                      <w:sz w:val="26"/>
                      <w:szCs w:val="26"/>
                    </w:rPr>
                    <w:t>CỘNG HOÀ XÃ HỘI CHỦ NGHĨA VIỆT NA</w:t>
                  </w:r>
                  <w:r>
                    <w:rPr>
                      <w:b/>
                      <w:sz w:val="26"/>
                      <w:szCs w:val="26"/>
                    </w:rPr>
                    <w:t>M</w:t>
                  </w:r>
                </w:p>
                <w:p w:rsidR="00C40896" w:rsidRPr="00FE789A" w:rsidRDefault="005E6E84" w:rsidP="006B2680">
                  <w:pPr>
                    <w:spacing w:before="4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line id="_x0000_s1037" style="position:absolute;left:0;text-align:left;z-index:251660800" from="62.65pt,21.05pt" to="224.65pt,21.05pt"/>
                    </w:pict>
                  </w:r>
                  <w:r w:rsidR="00C40896" w:rsidRPr="00FE789A">
                    <w:rPr>
                      <w:b/>
                      <w:sz w:val="28"/>
                      <w:szCs w:val="28"/>
                    </w:rPr>
                    <w:t xml:space="preserve"> Độc lập - Tự do - Hạnh phúc</w:t>
                  </w:r>
                </w:p>
              </w:tc>
            </w:tr>
            <w:tr w:rsidR="00C40896" w:rsidRPr="00FE789A" w:rsidTr="00732235">
              <w:tc>
                <w:tcPr>
                  <w:tcW w:w="2824" w:type="dxa"/>
                </w:tcPr>
                <w:p w:rsidR="00C40896" w:rsidRPr="00FE789A" w:rsidRDefault="00C40896" w:rsidP="006647BA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r w:rsidRPr="00FE789A">
                    <w:rPr>
                      <w:sz w:val="26"/>
                      <w:szCs w:val="26"/>
                    </w:rPr>
                    <w:t xml:space="preserve">Số: </w:t>
                  </w:r>
                  <w:r>
                    <w:rPr>
                      <w:sz w:val="26"/>
                      <w:szCs w:val="26"/>
                    </w:rPr>
                    <w:t xml:space="preserve">      </w:t>
                  </w:r>
                  <w:r w:rsidRPr="00FE789A">
                    <w:rPr>
                      <w:sz w:val="26"/>
                      <w:szCs w:val="26"/>
                    </w:rPr>
                    <w:t>/</w:t>
                  </w:r>
                  <w:r w:rsidR="008735B0">
                    <w:rPr>
                      <w:sz w:val="26"/>
                      <w:szCs w:val="26"/>
                    </w:rPr>
                    <w:t>2025</w:t>
                  </w:r>
                  <w:r w:rsidRPr="00FE789A">
                    <w:rPr>
                      <w:sz w:val="26"/>
                      <w:szCs w:val="26"/>
                    </w:rPr>
                    <w:t>/TT-BTC</w:t>
                  </w:r>
                </w:p>
              </w:tc>
              <w:tc>
                <w:tcPr>
                  <w:tcW w:w="236" w:type="dxa"/>
                </w:tcPr>
                <w:p w:rsidR="00C40896" w:rsidRPr="00FE789A" w:rsidRDefault="00C40896" w:rsidP="0073223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  <w:vAlign w:val="bottom"/>
                </w:tcPr>
                <w:p w:rsidR="00C40896" w:rsidRPr="00FE789A" w:rsidRDefault="00C40896" w:rsidP="000C65F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FE789A">
                    <w:rPr>
                      <w:i/>
                      <w:sz w:val="28"/>
                      <w:szCs w:val="28"/>
                    </w:rPr>
                    <w:t xml:space="preserve">Hà Nội, ngày </w:t>
                  </w:r>
                  <w:r>
                    <w:rPr>
                      <w:i/>
                      <w:sz w:val="28"/>
                      <w:szCs w:val="28"/>
                    </w:rPr>
                    <w:t xml:space="preserve">     </w:t>
                  </w:r>
                  <w:r w:rsidRPr="00FE789A">
                    <w:rPr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i/>
                      <w:sz w:val="28"/>
                      <w:szCs w:val="28"/>
                    </w:rPr>
                    <w:t xml:space="preserve">     </w:t>
                  </w:r>
                  <w:r w:rsidRPr="00FE789A">
                    <w:rPr>
                      <w:i/>
                      <w:sz w:val="28"/>
                      <w:szCs w:val="28"/>
                    </w:rPr>
                    <w:t xml:space="preserve"> năm </w:t>
                  </w:r>
                  <w:r w:rsidR="000C65FA">
                    <w:rPr>
                      <w:i/>
                      <w:sz w:val="28"/>
                      <w:szCs w:val="28"/>
                    </w:rPr>
                    <w:t>202</w:t>
                  </w:r>
                  <w:r w:rsidR="008735B0">
                    <w:rPr>
                      <w:i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40896" w:rsidRDefault="00C40896"/>
        </w:tc>
      </w:tr>
    </w:tbl>
    <w:p w:rsidR="00480FD5" w:rsidRDefault="00480FD5" w:rsidP="002F18EB">
      <w:pPr>
        <w:jc w:val="center"/>
        <w:rPr>
          <w:b/>
          <w:sz w:val="28"/>
          <w:szCs w:val="28"/>
        </w:rPr>
      </w:pPr>
    </w:p>
    <w:p w:rsidR="004F1ED8" w:rsidRDefault="005E6E84" w:rsidP="002F18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6.25pt;margin-top:8.45pt;width:89.95pt;height:25.1pt;z-index:251662848">
            <v:textbox style="mso-next-textbox:#_x0000_s1039">
              <w:txbxContent>
                <w:p w:rsidR="00723C50" w:rsidRPr="00C076D1" w:rsidRDefault="00723C50" w:rsidP="00723C50">
                  <w:pPr>
                    <w:jc w:val="center"/>
                    <w:rPr>
                      <w:b/>
                    </w:rPr>
                  </w:pPr>
                  <w:r w:rsidRPr="00C076D1">
                    <w:rPr>
                      <w:b/>
                    </w:rPr>
                    <w:t>Dự thảo</w:t>
                  </w:r>
                  <w:r w:rsidR="00681727">
                    <w:rPr>
                      <w:b/>
                    </w:rPr>
                    <w:t xml:space="preserve"> 1</w:t>
                  </w:r>
                </w:p>
              </w:txbxContent>
            </v:textbox>
          </v:shape>
        </w:pict>
      </w:r>
    </w:p>
    <w:p w:rsidR="00723C50" w:rsidRDefault="00723C50" w:rsidP="002F18EB">
      <w:pPr>
        <w:jc w:val="center"/>
        <w:rPr>
          <w:b/>
          <w:sz w:val="28"/>
          <w:szCs w:val="28"/>
        </w:rPr>
      </w:pPr>
    </w:p>
    <w:p w:rsidR="002F18EB" w:rsidRPr="00C92C88" w:rsidRDefault="002F18EB" w:rsidP="005D69CB">
      <w:pPr>
        <w:jc w:val="center"/>
        <w:rPr>
          <w:b/>
          <w:sz w:val="28"/>
          <w:szCs w:val="28"/>
        </w:rPr>
      </w:pPr>
      <w:r w:rsidRPr="00C92C88">
        <w:rPr>
          <w:b/>
          <w:sz w:val="28"/>
          <w:szCs w:val="28"/>
        </w:rPr>
        <w:t>THÔNG TƯ</w:t>
      </w:r>
    </w:p>
    <w:p w:rsidR="00C257FD" w:rsidRPr="00493AD4" w:rsidRDefault="008831A7" w:rsidP="00332742">
      <w:pPr>
        <w:spacing w:line="276" w:lineRule="auto"/>
        <w:jc w:val="center"/>
        <w:rPr>
          <w:b/>
          <w:sz w:val="28"/>
          <w:szCs w:val="28"/>
        </w:rPr>
      </w:pPr>
      <w:r w:rsidRPr="00493AD4">
        <w:rPr>
          <w:b/>
          <w:sz w:val="28"/>
          <w:szCs w:val="28"/>
        </w:rPr>
        <w:t xml:space="preserve">Bãi bỏ </w:t>
      </w:r>
      <w:r w:rsidR="00493AD4" w:rsidRPr="00493AD4">
        <w:rPr>
          <w:b/>
          <w:bCs/>
          <w:sz w:val="28"/>
          <w:szCs w:val="28"/>
          <w:lang w:val="sv-SE" w:eastAsia="vi-VN"/>
        </w:rPr>
        <w:t>Thông t</w:t>
      </w:r>
      <w:r w:rsidR="00493AD4" w:rsidRPr="00493AD4">
        <w:rPr>
          <w:rFonts w:hint="eastAsia"/>
          <w:b/>
          <w:bCs/>
          <w:sz w:val="28"/>
          <w:szCs w:val="28"/>
          <w:lang w:val="sv-SE" w:eastAsia="vi-VN"/>
        </w:rPr>
        <w:t>ư</w:t>
      </w:r>
      <w:r w:rsidR="00493AD4" w:rsidRPr="00493AD4">
        <w:rPr>
          <w:b/>
          <w:bCs/>
          <w:sz w:val="28"/>
          <w:szCs w:val="28"/>
          <w:lang w:val="sv-SE" w:eastAsia="vi-VN"/>
        </w:rPr>
        <w:t xml:space="preserve"> liên tịch số 74/2004/TTLT/BTC-BVHTT ngày 19 tháng 7 năm 2004 của liên tịch Bộ Tài chính, Bộ Văn hóa Thông tin h</w:t>
      </w:r>
      <w:r w:rsidR="00493AD4" w:rsidRPr="00493AD4">
        <w:rPr>
          <w:b/>
          <w:bCs/>
          <w:iCs/>
          <w:sz w:val="28"/>
          <w:szCs w:val="28"/>
          <w:lang w:val="nl-NL"/>
        </w:rPr>
        <w:t>ướng dẫn hỗ trợ kinh phí hoạt động sáng tạo tác phẩm công trình</w:t>
      </w:r>
      <w:r w:rsidR="00493AD4" w:rsidRPr="00493AD4">
        <w:rPr>
          <w:b/>
          <w:sz w:val="28"/>
          <w:szCs w:val="28"/>
        </w:rPr>
        <w:t xml:space="preserve"> </w:t>
      </w:r>
      <w:r w:rsidR="00493AD4" w:rsidRPr="00493AD4">
        <w:rPr>
          <w:b/>
          <w:bCs/>
          <w:iCs/>
          <w:sz w:val="28"/>
          <w:szCs w:val="28"/>
          <w:lang w:val="nl-NL"/>
        </w:rPr>
        <w:t>văn học nghệ thuật năm 2004</w:t>
      </w:r>
    </w:p>
    <w:p w:rsidR="002F18EB" w:rsidRPr="008A5C80" w:rsidRDefault="005E6E84" w:rsidP="002F18EB">
      <w:pPr>
        <w:spacing w:line="200" w:lineRule="exact"/>
        <w:jc w:val="center"/>
      </w:pPr>
      <w:r w:rsidRPr="005E6E84">
        <w:rPr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4.2pt;width:138.9pt;height:.05pt;z-index:251656704;mso-position-horizontal:center" o:connectortype="straight"/>
        </w:pict>
      </w:r>
    </w:p>
    <w:p w:rsidR="00177200" w:rsidRPr="008A5C80" w:rsidRDefault="00177200" w:rsidP="002F18EB">
      <w:pPr>
        <w:spacing w:line="200" w:lineRule="exact"/>
        <w:jc w:val="center"/>
      </w:pPr>
    </w:p>
    <w:p w:rsidR="00815797" w:rsidRPr="00707F9B" w:rsidRDefault="00815797" w:rsidP="003B45F9">
      <w:pPr>
        <w:spacing w:before="120" w:after="120"/>
        <w:ind w:firstLine="720"/>
        <w:jc w:val="both"/>
        <w:rPr>
          <w:i/>
          <w:sz w:val="28"/>
          <w:szCs w:val="28"/>
          <w:lang w:val="nl-NL"/>
        </w:rPr>
      </w:pPr>
      <w:r w:rsidRPr="00707F9B">
        <w:rPr>
          <w:i/>
          <w:sz w:val="28"/>
          <w:szCs w:val="28"/>
          <w:lang w:val="nl-NL"/>
        </w:rPr>
        <w:t xml:space="preserve">Căn cứ Luật Ban hành văn bản quy phạm pháp </w:t>
      </w:r>
      <w:r w:rsidR="00A57D78">
        <w:rPr>
          <w:i/>
          <w:sz w:val="28"/>
          <w:szCs w:val="28"/>
          <w:lang w:val="nl-NL"/>
        </w:rPr>
        <w:t>luật ngày 19 tháng 2 năm 202</w:t>
      </w:r>
      <w:r w:rsidRPr="00707F9B">
        <w:rPr>
          <w:i/>
          <w:sz w:val="28"/>
          <w:szCs w:val="28"/>
          <w:lang w:val="nl-NL"/>
        </w:rPr>
        <w:t>5;</w:t>
      </w:r>
    </w:p>
    <w:p w:rsidR="00A57D78" w:rsidRDefault="00A57D78" w:rsidP="003B45F9">
      <w:pPr>
        <w:spacing w:before="120" w:after="120"/>
        <w:ind w:firstLine="720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Căn cứ </w:t>
      </w:r>
      <w:r w:rsidRPr="00A57D78">
        <w:rPr>
          <w:i/>
          <w:iCs/>
          <w:sz w:val="28"/>
          <w:szCs w:val="28"/>
          <w:shd w:val="clear" w:color="auto" w:fill="FFFFFF"/>
        </w:rPr>
        <w:t>Nghị định số 78/2025/NĐ-CP ngày 01/04/2025 của Chính phủ quy định chi tiết một số điều và biện pháp để tổ chức, hướng dẫn thi hành Luật Ban hành văn bản quy phạm pháp luật</w:t>
      </w:r>
      <w:r>
        <w:rPr>
          <w:i/>
          <w:iCs/>
          <w:sz w:val="28"/>
          <w:szCs w:val="28"/>
          <w:shd w:val="clear" w:color="auto" w:fill="FFFFFF"/>
        </w:rPr>
        <w:t>;</w:t>
      </w:r>
    </w:p>
    <w:p w:rsidR="00A57D78" w:rsidRDefault="00A57D78" w:rsidP="003B45F9">
      <w:pPr>
        <w:spacing w:before="120" w:after="120"/>
        <w:ind w:firstLine="720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Căn cứ </w:t>
      </w:r>
      <w:r w:rsidRPr="00A57D78">
        <w:rPr>
          <w:i/>
          <w:iCs/>
          <w:sz w:val="28"/>
          <w:szCs w:val="28"/>
          <w:shd w:val="clear" w:color="auto" w:fill="FFFFFF"/>
        </w:rPr>
        <w:t xml:space="preserve">Nghị định số 79/2025/NĐ-CP ngày 01/04/2025 </w:t>
      </w:r>
      <w:r>
        <w:rPr>
          <w:i/>
          <w:iCs/>
          <w:sz w:val="28"/>
          <w:szCs w:val="28"/>
          <w:shd w:val="clear" w:color="auto" w:fill="FFFFFF"/>
        </w:rPr>
        <w:t>của Chính phủ v</w:t>
      </w:r>
      <w:r w:rsidRPr="00A57D78">
        <w:rPr>
          <w:i/>
          <w:iCs/>
          <w:sz w:val="28"/>
          <w:szCs w:val="28"/>
          <w:shd w:val="clear" w:color="auto" w:fill="FFFFFF"/>
        </w:rPr>
        <w:t>ề kiểm tra, rà soát, hệ thống hóa và xử lý văn bản quy phạm pháp luật</w:t>
      </w:r>
      <w:r>
        <w:rPr>
          <w:i/>
          <w:iCs/>
          <w:sz w:val="28"/>
          <w:szCs w:val="28"/>
          <w:shd w:val="clear" w:color="auto" w:fill="FFFFFF"/>
        </w:rPr>
        <w:t>;</w:t>
      </w:r>
      <w:r w:rsidRPr="00A57D78"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3B45F9" w:rsidRDefault="003B45F9" w:rsidP="003B45F9">
      <w:pPr>
        <w:spacing w:before="120" w:after="120"/>
        <w:ind w:firstLine="720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Căn cứ </w:t>
      </w:r>
      <w:r w:rsidRPr="003B45F9">
        <w:rPr>
          <w:i/>
          <w:iCs/>
          <w:sz w:val="28"/>
          <w:szCs w:val="28"/>
          <w:shd w:val="clear" w:color="auto" w:fill="FFFFFF"/>
        </w:rPr>
        <w:t>Nghị định số 80/2025/NĐ-CP ngày 01/04/2025 của Chính phủ về tổ chức thi</w:t>
      </w:r>
      <w:r>
        <w:rPr>
          <w:i/>
          <w:iCs/>
          <w:sz w:val="28"/>
          <w:szCs w:val="28"/>
          <w:shd w:val="clear" w:color="auto" w:fill="FFFFFF"/>
        </w:rPr>
        <w:t xml:space="preserve"> hành văn bản quy phạm pháp luật;</w:t>
      </w:r>
    </w:p>
    <w:p w:rsidR="00815797" w:rsidRPr="00707F9B" w:rsidRDefault="008735B0" w:rsidP="003B45F9">
      <w:pPr>
        <w:spacing w:before="120" w:after="120"/>
        <w:ind w:firstLine="72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Căn cứ Nghị định số 29/2025/NĐ-CP ngày 24 tháng 02 năm 2025</w:t>
      </w:r>
      <w:r w:rsidR="004A03AA" w:rsidRPr="004A03AA">
        <w:rPr>
          <w:i/>
          <w:iCs/>
          <w:sz w:val="28"/>
          <w:szCs w:val="28"/>
          <w:shd w:val="clear" w:color="auto" w:fill="FFFFFF"/>
        </w:rPr>
        <w:t xml:space="preserve"> của Chính phủ quy định chức năng, nhiệm vụ, quyền hạn và cơ cấu tổ chức của Bộ Tài chính</w:t>
      </w:r>
      <w:r w:rsidR="00815797" w:rsidRPr="00707F9B">
        <w:rPr>
          <w:i/>
          <w:iCs/>
          <w:sz w:val="28"/>
          <w:szCs w:val="28"/>
          <w:shd w:val="clear" w:color="auto" w:fill="FFFFFF"/>
        </w:rPr>
        <w:t>;</w:t>
      </w:r>
    </w:p>
    <w:p w:rsidR="00815797" w:rsidRPr="00707F9B" w:rsidRDefault="00815797" w:rsidP="003B45F9">
      <w:pPr>
        <w:pStyle w:val="BodyText2"/>
        <w:spacing w:before="120" w:line="240" w:lineRule="auto"/>
        <w:ind w:firstLine="720"/>
        <w:jc w:val="both"/>
        <w:rPr>
          <w:i/>
          <w:sz w:val="28"/>
          <w:szCs w:val="28"/>
          <w:lang w:val="nl-NL"/>
        </w:rPr>
      </w:pPr>
      <w:r w:rsidRPr="00707F9B">
        <w:rPr>
          <w:i/>
          <w:sz w:val="28"/>
          <w:szCs w:val="28"/>
          <w:lang w:val="nl-NL"/>
        </w:rPr>
        <w:t>Theo đề nghị của Vụ trưởng Vụ Tài chính</w:t>
      </w:r>
      <w:r w:rsidR="008735B0">
        <w:rPr>
          <w:i/>
          <w:sz w:val="28"/>
          <w:szCs w:val="28"/>
          <w:lang w:val="nl-NL"/>
        </w:rPr>
        <w:t xml:space="preserve"> – Kinh tế ngành</w:t>
      </w:r>
      <w:r w:rsidRPr="00707F9B">
        <w:rPr>
          <w:i/>
          <w:sz w:val="28"/>
          <w:szCs w:val="28"/>
          <w:lang w:val="nl-NL"/>
        </w:rPr>
        <w:t>;</w:t>
      </w:r>
    </w:p>
    <w:p w:rsidR="00815797" w:rsidRDefault="00815797" w:rsidP="003B45F9">
      <w:pPr>
        <w:pStyle w:val="BodyText2"/>
        <w:spacing w:before="120" w:line="240" w:lineRule="auto"/>
        <w:ind w:firstLine="720"/>
        <w:jc w:val="both"/>
        <w:rPr>
          <w:i/>
          <w:sz w:val="28"/>
          <w:szCs w:val="28"/>
        </w:rPr>
      </w:pPr>
      <w:r w:rsidRPr="00707F9B">
        <w:rPr>
          <w:i/>
          <w:sz w:val="28"/>
          <w:szCs w:val="28"/>
          <w:lang w:val="nl-NL"/>
        </w:rPr>
        <w:t xml:space="preserve">Bộ trưởng Bộ Tài chính ban hành Thông tư </w:t>
      </w:r>
      <w:r w:rsidRPr="00493AD4">
        <w:rPr>
          <w:i/>
          <w:sz w:val="28"/>
          <w:szCs w:val="28"/>
          <w:lang w:val="nl-NL"/>
        </w:rPr>
        <w:t>b</w:t>
      </w:r>
      <w:r w:rsidRPr="00493AD4">
        <w:rPr>
          <w:i/>
          <w:sz w:val="28"/>
          <w:szCs w:val="28"/>
        </w:rPr>
        <w:t xml:space="preserve">ãi bỏ </w:t>
      </w:r>
      <w:r w:rsidR="00493AD4" w:rsidRPr="00493AD4">
        <w:rPr>
          <w:bCs/>
          <w:i/>
          <w:sz w:val="28"/>
          <w:szCs w:val="28"/>
          <w:lang w:val="sv-SE" w:eastAsia="vi-VN"/>
        </w:rPr>
        <w:t>Thông t</w:t>
      </w:r>
      <w:r w:rsidR="00493AD4" w:rsidRPr="00493AD4">
        <w:rPr>
          <w:rFonts w:hint="eastAsia"/>
          <w:bCs/>
          <w:i/>
          <w:sz w:val="28"/>
          <w:szCs w:val="28"/>
          <w:lang w:val="sv-SE" w:eastAsia="vi-VN"/>
        </w:rPr>
        <w:t>ư</w:t>
      </w:r>
      <w:r w:rsidR="00493AD4" w:rsidRPr="00493AD4">
        <w:rPr>
          <w:bCs/>
          <w:i/>
          <w:sz w:val="28"/>
          <w:szCs w:val="28"/>
          <w:lang w:val="sv-SE" w:eastAsia="vi-VN"/>
        </w:rPr>
        <w:t xml:space="preserve"> liên tịch số 74/2004/TTLT/BTC-BVHTT ngày 19</w:t>
      </w:r>
      <w:r w:rsidR="00876AC0">
        <w:rPr>
          <w:bCs/>
          <w:i/>
          <w:sz w:val="28"/>
          <w:szCs w:val="28"/>
          <w:lang w:val="sv-SE" w:eastAsia="vi-VN"/>
        </w:rPr>
        <w:t xml:space="preserve"> tháng 7 năm 2004 của </w:t>
      </w:r>
      <w:r w:rsidR="00493AD4" w:rsidRPr="00493AD4">
        <w:rPr>
          <w:bCs/>
          <w:i/>
          <w:sz w:val="28"/>
          <w:szCs w:val="28"/>
          <w:lang w:val="sv-SE" w:eastAsia="vi-VN"/>
        </w:rPr>
        <w:t>Bộ Tài chính, Bộ Văn hóa Thông tin h</w:t>
      </w:r>
      <w:r w:rsidR="00493AD4" w:rsidRPr="00493AD4">
        <w:rPr>
          <w:bCs/>
          <w:i/>
          <w:iCs/>
          <w:sz w:val="28"/>
          <w:szCs w:val="28"/>
          <w:lang w:val="nl-NL"/>
        </w:rPr>
        <w:t>ướng dẫn hỗ trợ kinh phí hoạt động sáng tạo tác phẩm công trình</w:t>
      </w:r>
      <w:r w:rsidR="00493AD4" w:rsidRPr="00493AD4">
        <w:rPr>
          <w:i/>
          <w:sz w:val="28"/>
          <w:szCs w:val="28"/>
        </w:rPr>
        <w:t xml:space="preserve"> </w:t>
      </w:r>
      <w:r w:rsidR="00493AD4" w:rsidRPr="00493AD4">
        <w:rPr>
          <w:bCs/>
          <w:i/>
          <w:iCs/>
          <w:sz w:val="28"/>
          <w:szCs w:val="28"/>
          <w:lang w:val="nl-NL"/>
        </w:rPr>
        <w:t>văn học nghệ thuật năm 2004</w:t>
      </w:r>
      <w:r w:rsidRPr="00493AD4">
        <w:rPr>
          <w:i/>
          <w:sz w:val="28"/>
          <w:szCs w:val="28"/>
        </w:rPr>
        <w:t>.</w:t>
      </w:r>
    </w:p>
    <w:p w:rsidR="00815797" w:rsidRPr="00707F9B" w:rsidRDefault="00815797" w:rsidP="003B45F9">
      <w:pPr>
        <w:pStyle w:val="BodyText2"/>
        <w:spacing w:before="120" w:line="240" w:lineRule="auto"/>
        <w:ind w:firstLine="709"/>
        <w:jc w:val="both"/>
        <w:rPr>
          <w:b/>
          <w:sz w:val="28"/>
          <w:szCs w:val="28"/>
          <w:lang w:val="nl-NL"/>
        </w:rPr>
      </w:pPr>
      <w:r w:rsidRPr="00707F9B">
        <w:rPr>
          <w:b/>
          <w:sz w:val="28"/>
          <w:szCs w:val="28"/>
          <w:lang w:val="nl-NL"/>
        </w:rPr>
        <w:t xml:space="preserve">Điều 1. </w:t>
      </w:r>
      <w:r w:rsidRPr="00707F9B">
        <w:rPr>
          <w:sz w:val="28"/>
          <w:szCs w:val="28"/>
          <w:lang w:val="nl-NL"/>
        </w:rPr>
        <w:t>B</w:t>
      </w:r>
      <w:r w:rsidRPr="00707F9B">
        <w:rPr>
          <w:sz w:val="28"/>
          <w:szCs w:val="28"/>
        </w:rPr>
        <w:t xml:space="preserve">ãi bỏ toàn bộ </w:t>
      </w:r>
      <w:r w:rsidR="00493AD4" w:rsidRPr="00EE5654">
        <w:rPr>
          <w:bCs/>
          <w:sz w:val="28"/>
          <w:szCs w:val="28"/>
          <w:lang w:val="sv-SE" w:eastAsia="vi-VN"/>
        </w:rPr>
        <w:t>Thông t</w:t>
      </w:r>
      <w:r w:rsidR="00493AD4" w:rsidRPr="00EE5654">
        <w:rPr>
          <w:rFonts w:hint="eastAsia"/>
          <w:bCs/>
          <w:sz w:val="28"/>
          <w:szCs w:val="28"/>
          <w:lang w:val="sv-SE" w:eastAsia="vi-VN"/>
        </w:rPr>
        <w:t>ư</w:t>
      </w:r>
      <w:r w:rsidR="00493AD4">
        <w:rPr>
          <w:bCs/>
          <w:sz w:val="28"/>
          <w:szCs w:val="28"/>
          <w:lang w:val="sv-SE" w:eastAsia="vi-VN"/>
        </w:rPr>
        <w:t xml:space="preserve"> liên tịch</w:t>
      </w:r>
      <w:r w:rsidR="00493AD4" w:rsidRPr="00EE5654">
        <w:rPr>
          <w:bCs/>
          <w:sz w:val="28"/>
          <w:szCs w:val="28"/>
          <w:lang w:val="sv-SE" w:eastAsia="vi-VN"/>
        </w:rPr>
        <w:t xml:space="preserve"> số </w:t>
      </w:r>
      <w:r w:rsidR="00493AD4">
        <w:rPr>
          <w:bCs/>
          <w:sz w:val="28"/>
          <w:szCs w:val="28"/>
          <w:lang w:val="sv-SE" w:eastAsia="vi-VN"/>
        </w:rPr>
        <w:t>7</w:t>
      </w:r>
      <w:r w:rsidR="00493AD4" w:rsidRPr="00EE5654">
        <w:rPr>
          <w:bCs/>
          <w:sz w:val="28"/>
          <w:szCs w:val="28"/>
          <w:lang w:val="sv-SE" w:eastAsia="vi-VN"/>
        </w:rPr>
        <w:t>4/20</w:t>
      </w:r>
      <w:r w:rsidR="00493AD4">
        <w:rPr>
          <w:bCs/>
          <w:sz w:val="28"/>
          <w:szCs w:val="28"/>
          <w:lang w:val="sv-SE" w:eastAsia="vi-VN"/>
        </w:rPr>
        <w:t>04/TTLT/</w:t>
      </w:r>
      <w:r w:rsidR="00493AD4" w:rsidRPr="00FF77E7">
        <w:rPr>
          <w:bCs/>
          <w:sz w:val="28"/>
          <w:szCs w:val="28"/>
          <w:lang w:val="sv-SE" w:eastAsia="vi-VN"/>
        </w:rPr>
        <w:t>BTC</w:t>
      </w:r>
      <w:r w:rsidR="00493AD4">
        <w:rPr>
          <w:bCs/>
          <w:sz w:val="28"/>
          <w:szCs w:val="28"/>
          <w:lang w:val="sv-SE" w:eastAsia="vi-VN"/>
        </w:rPr>
        <w:t>-BVHTT</w:t>
      </w:r>
      <w:r w:rsidR="00876AC0">
        <w:rPr>
          <w:bCs/>
          <w:sz w:val="28"/>
          <w:szCs w:val="28"/>
          <w:lang w:val="sv-SE" w:eastAsia="vi-VN"/>
        </w:rPr>
        <w:t xml:space="preserve"> ngày 19 tháng 7 năm 2004 của</w:t>
      </w:r>
      <w:r w:rsidR="00493AD4">
        <w:rPr>
          <w:bCs/>
          <w:sz w:val="28"/>
          <w:szCs w:val="28"/>
          <w:lang w:val="sv-SE" w:eastAsia="vi-VN"/>
        </w:rPr>
        <w:t xml:space="preserve"> Bộ</w:t>
      </w:r>
      <w:r w:rsidR="00493AD4" w:rsidRPr="00FF77E7">
        <w:rPr>
          <w:bCs/>
          <w:sz w:val="28"/>
          <w:szCs w:val="28"/>
          <w:lang w:val="sv-SE" w:eastAsia="vi-VN"/>
        </w:rPr>
        <w:t xml:space="preserve"> Tài chính</w:t>
      </w:r>
      <w:r w:rsidR="00493AD4">
        <w:rPr>
          <w:bCs/>
          <w:sz w:val="28"/>
          <w:szCs w:val="28"/>
          <w:lang w:val="sv-SE" w:eastAsia="vi-VN"/>
        </w:rPr>
        <w:t>, Bộ Văn hóa Thông tin</w:t>
      </w:r>
      <w:r w:rsidR="00493AD4" w:rsidRPr="00FF77E7">
        <w:rPr>
          <w:bCs/>
          <w:sz w:val="28"/>
          <w:szCs w:val="28"/>
          <w:lang w:val="sv-SE" w:eastAsia="vi-VN"/>
        </w:rPr>
        <w:t xml:space="preserve"> h</w:t>
      </w:r>
      <w:r w:rsidR="00493AD4">
        <w:rPr>
          <w:bCs/>
          <w:iCs/>
          <w:sz w:val="28"/>
          <w:szCs w:val="28"/>
          <w:lang w:val="nl-NL"/>
        </w:rPr>
        <w:t xml:space="preserve">ướng dẫn hỗ trợ kinh </w:t>
      </w:r>
      <w:r w:rsidR="00493AD4" w:rsidRPr="00FF77E7">
        <w:rPr>
          <w:bCs/>
          <w:iCs/>
          <w:sz w:val="28"/>
          <w:szCs w:val="28"/>
          <w:lang w:val="nl-NL"/>
        </w:rPr>
        <w:t>phí hoạt động sáng tạo tác phẩm công trình</w:t>
      </w:r>
      <w:r w:rsidR="00493AD4">
        <w:rPr>
          <w:sz w:val="28"/>
          <w:szCs w:val="28"/>
        </w:rPr>
        <w:t xml:space="preserve"> </w:t>
      </w:r>
      <w:r w:rsidR="00493AD4" w:rsidRPr="00FF77E7">
        <w:rPr>
          <w:bCs/>
          <w:iCs/>
          <w:sz w:val="28"/>
          <w:szCs w:val="28"/>
          <w:lang w:val="nl-NL"/>
        </w:rPr>
        <w:t>văn học nghệ thuật năm 2004</w:t>
      </w:r>
      <w:r w:rsidRPr="00707F9B">
        <w:rPr>
          <w:iCs/>
          <w:sz w:val="28"/>
          <w:szCs w:val="28"/>
          <w:shd w:val="clear" w:color="auto" w:fill="FFFFFF"/>
        </w:rPr>
        <w:t>.</w:t>
      </w:r>
    </w:p>
    <w:p w:rsidR="00815797" w:rsidRPr="00707F9B" w:rsidRDefault="00815797" w:rsidP="003B45F9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b/>
          <w:bCs/>
          <w:sz w:val="28"/>
          <w:szCs w:val="28"/>
        </w:rPr>
      </w:pPr>
      <w:bookmarkStart w:id="0" w:name="dieu_2"/>
      <w:r w:rsidRPr="00707F9B">
        <w:rPr>
          <w:b/>
          <w:bCs/>
          <w:sz w:val="28"/>
          <w:szCs w:val="28"/>
          <w:lang w:val="sv-SE"/>
        </w:rPr>
        <w:t xml:space="preserve">Điều 2. </w:t>
      </w:r>
      <w:r w:rsidRPr="00707F9B">
        <w:rPr>
          <w:b/>
          <w:bCs/>
          <w:sz w:val="28"/>
          <w:szCs w:val="28"/>
        </w:rPr>
        <w:t>Điều khoản thi hành</w:t>
      </w:r>
    </w:p>
    <w:p w:rsidR="00815797" w:rsidRPr="00DB4B29" w:rsidRDefault="00815797" w:rsidP="003B45F9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bCs/>
          <w:sz w:val="28"/>
          <w:szCs w:val="28"/>
          <w:lang w:val="sv-SE"/>
        </w:rPr>
      </w:pPr>
      <w:r w:rsidRPr="00707F9B">
        <w:rPr>
          <w:bCs/>
          <w:sz w:val="28"/>
          <w:szCs w:val="28"/>
          <w:lang w:val="sv-SE"/>
        </w:rPr>
        <w:t xml:space="preserve">1. Thông tư </w:t>
      </w:r>
      <w:r w:rsidRPr="00DB4B29">
        <w:rPr>
          <w:bCs/>
          <w:sz w:val="28"/>
          <w:szCs w:val="28"/>
          <w:lang w:val="sv-SE"/>
        </w:rPr>
        <w:t>này có hiệu lực thi hành từ ngày</w:t>
      </w:r>
      <w:r w:rsidR="0016203F" w:rsidRPr="00DB4B29">
        <w:rPr>
          <w:bCs/>
          <w:sz w:val="28"/>
          <w:szCs w:val="28"/>
          <w:lang w:val="sv-SE"/>
        </w:rPr>
        <w:t xml:space="preserve">        </w:t>
      </w:r>
      <w:r w:rsidRPr="00DB4B29">
        <w:rPr>
          <w:bCs/>
          <w:sz w:val="28"/>
          <w:szCs w:val="28"/>
          <w:lang w:val="sv-SE"/>
        </w:rPr>
        <w:t>tháng</w:t>
      </w:r>
      <w:r w:rsidR="0016203F" w:rsidRPr="00DB4B29">
        <w:rPr>
          <w:bCs/>
          <w:sz w:val="28"/>
          <w:szCs w:val="28"/>
          <w:lang w:val="sv-SE"/>
        </w:rPr>
        <w:t xml:space="preserve">      </w:t>
      </w:r>
      <w:r w:rsidRPr="00DB4B29">
        <w:rPr>
          <w:bCs/>
          <w:sz w:val="28"/>
          <w:szCs w:val="28"/>
          <w:lang w:val="sv-SE"/>
        </w:rPr>
        <w:t>năm</w:t>
      </w:r>
      <w:r w:rsidR="00903547">
        <w:rPr>
          <w:bCs/>
          <w:sz w:val="28"/>
          <w:szCs w:val="28"/>
          <w:lang w:val="sv-SE"/>
        </w:rPr>
        <w:t xml:space="preserve">   </w:t>
      </w:r>
      <w:r w:rsidRPr="00DB4B29">
        <w:rPr>
          <w:bCs/>
          <w:sz w:val="28"/>
          <w:szCs w:val="28"/>
          <w:lang w:val="sv-SE"/>
        </w:rPr>
        <w:t xml:space="preserve"> 202</w:t>
      </w:r>
      <w:r w:rsidR="008735B0">
        <w:rPr>
          <w:bCs/>
          <w:sz w:val="28"/>
          <w:szCs w:val="28"/>
          <w:lang w:val="sv-SE"/>
        </w:rPr>
        <w:t>5</w:t>
      </w:r>
      <w:r w:rsidRPr="00DB4B29">
        <w:rPr>
          <w:bCs/>
          <w:sz w:val="28"/>
          <w:szCs w:val="28"/>
          <w:lang w:val="sv-SE"/>
        </w:rPr>
        <w:t>.</w:t>
      </w:r>
    </w:p>
    <w:p w:rsidR="00F11C6F" w:rsidRPr="00F16772" w:rsidRDefault="001837D8" w:rsidP="003B45F9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bCs/>
          <w:sz w:val="28"/>
          <w:szCs w:val="28"/>
          <w:lang w:val="sv-SE"/>
        </w:rPr>
      </w:pPr>
      <w:r>
        <w:rPr>
          <w:bCs/>
          <w:sz w:val="28"/>
          <w:szCs w:val="28"/>
          <w:lang w:val="sv-SE"/>
        </w:rPr>
        <w:lastRenderedPageBreak/>
        <w:t>2</w:t>
      </w:r>
      <w:r w:rsidR="00815797" w:rsidRPr="00DB4B29">
        <w:rPr>
          <w:bCs/>
          <w:sz w:val="28"/>
          <w:szCs w:val="28"/>
          <w:lang w:val="sv-SE"/>
        </w:rPr>
        <w:t>. Vụ trưởng Vụ Tài chính</w:t>
      </w:r>
      <w:r w:rsidR="008735B0">
        <w:rPr>
          <w:bCs/>
          <w:sz w:val="28"/>
          <w:szCs w:val="28"/>
          <w:lang w:val="sv-SE"/>
        </w:rPr>
        <w:t xml:space="preserve"> – Kinh tế ngành</w:t>
      </w:r>
      <w:r w:rsidR="00815797" w:rsidRPr="00DB4B29">
        <w:rPr>
          <w:bCs/>
          <w:sz w:val="28"/>
          <w:szCs w:val="28"/>
          <w:lang w:val="sv-SE"/>
        </w:rPr>
        <w:t>, Thủ trưởng các đơn vị thuộc Bộ Tài chính và các cơ quan, tổ chức, cá nhân có liên quan chịu trách nhiệm thi hành Thông tư này</w:t>
      </w:r>
      <w:bookmarkEnd w:id="0"/>
      <w:r w:rsidR="0044721A" w:rsidRPr="00DB4B29">
        <w:rPr>
          <w:bCs/>
          <w:sz w:val="28"/>
          <w:szCs w:val="28"/>
          <w:lang w:val="sv-SE"/>
        </w:rPr>
        <w:t>./.</w:t>
      </w:r>
    </w:p>
    <w:tbl>
      <w:tblPr>
        <w:tblW w:w="9073" w:type="dxa"/>
        <w:tblInd w:w="108" w:type="dxa"/>
        <w:tblLook w:val="01E0"/>
      </w:tblPr>
      <w:tblGrid>
        <w:gridCol w:w="5245"/>
        <w:gridCol w:w="3828"/>
      </w:tblGrid>
      <w:tr w:rsidR="00F11C6F" w:rsidRPr="00F926DD" w:rsidTr="00015FD9">
        <w:tc>
          <w:tcPr>
            <w:tcW w:w="5245" w:type="dxa"/>
          </w:tcPr>
          <w:p w:rsidR="00815797" w:rsidRPr="00707F9B" w:rsidRDefault="00815797" w:rsidP="00815797">
            <w:pPr>
              <w:spacing w:line="264" w:lineRule="auto"/>
              <w:rPr>
                <w:b/>
                <w:i/>
                <w:szCs w:val="26"/>
                <w:lang w:val="nl-NL"/>
              </w:rPr>
            </w:pPr>
          </w:p>
          <w:p w:rsidR="00815797" w:rsidRPr="00707F9B" w:rsidRDefault="00815797" w:rsidP="00815797">
            <w:pPr>
              <w:spacing w:line="264" w:lineRule="auto"/>
              <w:rPr>
                <w:b/>
                <w:i/>
                <w:sz w:val="26"/>
                <w:szCs w:val="26"/>
                <w:lang w:val="nl-NL"/>
              </w:rPr>
            </w:pPr>
            <w:r w:rsidRPr="00707F9B">
              <w:rPr>
                <w:b/>
                <w:i/>
                <w:szCs w:val="26"/>
                <w:lang w:val="nl-NL"/>
              </w:rPr>
              <w:t>Nơi nhận: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lang w:val="nl-NL"/>
              </w:rPr>
              <w:t xml:space="preserve">- </w:t>
            </w:r>
            <w:r w:rsidRPr="00707F9B">
              <w:rPr>
                <w:sz w:val="22"/>
                <w:szCs w:val="22"/>
                <w:shd w:val="clear" w:color="auto" w:fill="FFFFFF"/>
              </w:rPr>
              <w:t>Ban Bí thư Trung ương Đảng;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Thủ tướng, các Phó Thủ tướng Chính phủ;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Văn phòng Trung ương và các Ban của Đảng;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Văn phòng Tổng Bí thư;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Văn phòng Quốc hội;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Văn phòng Chủ tịch nước;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Văn phòng Chính phủ;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Viện kiểm sát nhân dân tối cao;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Tòa án nhân dân tối cao;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Kiểm toán nhà nước;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Các Bộ, cơ quan ngang Bộ, cơ quan thuộc Chính phủ;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Ủy ban Trung ương Mặt trận Tổ quốc Việt Nam;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Cơ quan Trung ương của các đoàn thể;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HĐND, UBND các tỉnh, TP trực thuộc Trung ương;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Sở Tài chính các tỉnh, TP trực thuộc Trung ương;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Liên hiệp các Hội Văn học nghệ thuật Việt Nam;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Các Hội Văn học nghệ thuật ở Trung ương và các tỉnh, thành phố trực thuộc Trung ương;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Hội Nhà báo Việt Nam; Hội Nhà báo các tỉnh, thành phố trực thuộc Trung ương;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Các đơn vị, tổ chức thuộc</w:t>
            </w:r>
            <w:r w:rsidR="00F16772">
              <w:rPr>
                <w:sz w:val="22"/>
                <w:szCs w:val="22"/>
                <w:shd w:val="clear" w:color="auto" w:fill="FFFFFF"/>
              </w:rPr>
              <w:t>, trực thuộc</w:t>
            </w:r>
            <w:r w:rsidRPr="00707F9B">
              <w:rPr>
                <w:sz w:val="22"/>
                <w:szCs w:val="22"/>
                <w:shd w:val="clear" w:color="auto" w:fill="FFFFFF"/>
              </w:rPr>
              <w:t xml:space="preserve"> Bộ Tài chính;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Cục Kiểm tra VBQPPL (Bộ Tư pháp);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Công báo;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 xml:space="preserve">- Cổng thông tin điện tử Chính phủ; </w:t>
            </w:r>
          </w:p>
          <w:p w:rsidR="00815797" w:rsidRPr="00707F9B" w:rsidRDefault="00815797" w:rsidP="00815797">
            <w:pPr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right="57"/>
              <w:jc w:val="both"/>
              <w:rPr>
                <w:sz w:val="22"/>
                <w:szCs w:val="22"/>
                <w:shd w:val="clear" w:color="auto" w:fill="FFFFFF"/>
              </w:rPr>
            </w:pPr>
            <w:r w:rsidRPr="00707F9B">
              <w:rPr>
                <w:sz w:val="22"/>
                <w:szCs w:val="22"/>
                <w:shd w:val="clear" w:color="auto" w:fill="FFFFFF"/>
              </w:rPr>
              <w:t>- Cổng thông tin điện tử Bộ Tài chính;</w:t>
            </w:r>
          </w:p>
          <w:p w:rsidR="00F11C6F" w:rsidRPr="00F926DD" w:rsidRDefault="008735B0" w:rsidP="00815797">
            <w:pPr>
              <w:spacing w:line="264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shd w:val="clear" w:color="auto" w:fill="FFFFFF"/>
              </w:rPr>
              <w:t>- Lưu: VT, KTN</w:t>
            </w:r>
            <w:r w:rsidR="00815797" w:rsidRPr="00707F9B">
              <w:rPr>
                <w:sz w:val="22"/>
                <w:szCs w:val="22"/>
                <w:shd w:val="clear" w:color="auto" w:fill="FFFFFF"/>
              </w:rPr>
              <w:t xml:space="preserve"> (        bản).</w:t>
            </w:r>
          </w:p>
        </w:tc>
        <w:tc>
          <w:tcPr>
            <w:tcW w:w="3828" w:type="dxa"/>
          </w:tcPr>
          <w:p w:rsidR="00F11C6F" w:rsidRDefault="00F11C6F" w:rsidP="00015FD9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F11C6F" w:rsidRPr="00F926DD" w:rsidRDefault="00F11C6F" w:rsidP="00015FD9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926DD">
              <w:rPr>
                <w:b/>
                <w:bCs/>
                <w:sz w:val="26"/>
                <w:szCs w:val="26"/>
                <w:lang w:val="nl-NL"/>
              </w:rPr>
              <w:t>KT. BỘ TRƯỞNG</w:t>
            </w:r>
          </w:p>
          <w:p w:rsidR="00F11C6F" w:rsidRPr="00F926DD" w:rsidRDefault="00F11C6F" w:rsidP="00015FD9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926DD">
              <w:rPr>
                <w:b/>
                <w:bCs/>
                <w:sz w:val="26"/>
                <w:szCs w:val="26"/>
                <w:lang w:val="nl-NL"/>
              </w:rPr>
              <w:t>THỨ TRƯỞNG</w:t>
            </w:r>
          </w:p>
          <w:p w:rsidR="00F11C6F" w:rsidRPr="00F926DD" w:rsidRDefault="00F11C6F" w:rsidP="00015FD9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F11C6F" w:rsidRPr="00F926DD" w:rsidRDefault="00F11C6F" w:rsidP="00015FD9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F11C6F" w:rsidRPr="00F926DD" w:rsidRDefault="00F11C6F" w:rsidP="00015FD9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F11C6F" w:rsidRPr="00F926DD" w:rsidRDefault="00F11C6F" w:rsidP="00015FD9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F11C6F" w:rsidRPr="00F926DD" w:rsidRDefault="00F11C6F" w:rsidP="00015FD9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F11C6F" w:rsidRPr="00F926DD" w:rsidRDefault="008735B0" w:rsidP="00015FD9">
            <w:pPr>
              <w:spacing w:line="264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Bùi Văn Khắng</w:t>
            </w:r>
          </w:p>
        </w:tc>
      </w:tr>
    </w:tbl>
    <w:p w:rsidR="002F18EB" w:rsidRPr="006072F8" w:rsidRDefault="002F18EB" w:rsidP="00FC226A">
      <w:pPr>
        <w:pStyle w:val="NormalWeb"/>
        <w:shd w:val="clear" w:color="auto" w:fill="FFFFFF"/>
        <w:spacing w:before="120" w:beforeAutospacing="0" w:after="120" w:afterAutospacing="0" w:line="264" w:lineRule="auto"/>
        <w:jc w:val="both"/>
        <w:rPr>
          <w:lang w:val="nl-NL"/>
        </w:rPr>
      </w:pPr>
    </w:p>
    <w:sectPr w:rsidR="002F18EB" w:rsidRPr="006072F8" w:rsidSect="00786267">
      <w:headerReference w:type="default" r:id="rId11"/>
      <w:footerReference w:type="even" r:id="rId12"/>
      <w:footerReference w:type="default" r:id="rId13"/>
      <w:pgSz w:w="11907" w:h="16840" w:code="9"/>
      <w:pgMar w:top="1418" w:right="1134" w:bottom="1418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D2" w:rsidRDefault="000D3FD2">
      <w:r>
        <w:separator/>
      </w:r>
    </w:p>
  </w:endnote>
  <w:endnote w:type="continuationSeparator" w:id="0">
    <w:p w:rsidR="000D3FD2" w:rsidRDefault="000D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D5" w:rsidRDefault="005E6E84" w:rsidP="002F18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0F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FD5" w:rsidRDefault="00480FD5" w:rsidP="002F18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D5" w:rsidRDefault="00480FD5" w:rsidP="002F18EB">
    <w:pPr>
      <w:pStyle w:val="Footer"/>
      <w:framePr w:wrap="around" w:vAnchor="text" w:hAnchor="margin" w:xAlign="right" w:y="1"/>
      <w:rPr>
        <w:rStyle w:val="PageNumber"/>
      </w:rPr>
    </w:pPr>
  </w:p>
  <w:p w:rsidR="00480FD5" w:rsidRDefault="00480FD5" w:rsidP="002F18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D2" w:rsidRDefault="000D3FD2">
      <w:r>
        <w:separator/>
      </w:r>
    </w:p>
  </w:footnote>
  <w:footnote w:type="continuationSeparator" w:id="0">
    <w:p w:rsidR="000D3FD2" w:rsidRDefault="000D3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D5" w:rsidRPr="00DB76AD" w:rsidRDefault="005E6E84">
    <w:pPr>
      <w:pStyle w:val="Header"/>
      <w:jc w:val="center"/>
    </w:pPr>
    <w:fldSimple w:instr=" PAGE   \* MERGEFORMAT ">
      <w:r w:rsidR="00943781">
        <w:rPr>
          <w:noProof/>
        </w:rPr>
        <w:t>2</w:t>
      </w:r>
    </w:fldSimple>
  </w:p>
  <w:p w:rsidR="00480FD5" w:rsidRDefault="00480F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9BF"/>
    <w:multiLevelType w:val="hybridMultilevel"/>
    <w:tmpl w:val="DDF81034"/>
    <w:lvl w:ilvl="0" w:tplc="AE28CC2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1E7ED6"/>
    <w:multiLevelType w:val="hybridMultilevel"/>
    <w:tmpl w:val="2D94053C"/>
    <w:lvl w:ilvl="0" w:tplc="887A4CA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C74A11"/>
    <w:multiLevelType w:val="hybridMultilevel"/>
    <w:tmpl w:val="86A611B8"/>
    <w:lvl w:ilvl="0" w:tplc="4622190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F18EB"/>
    <w:rsid w:val="00000B9E"/>
    <w:rsid w:val="00012699"/>
    <w:rsid w:val="00040B40"/>
    <w:rsid w:val="000413E6"/>
    <w:rsid w:val="00042E6C"/>
    <w:rsid w:val="0004324B"/>
    <w:rsid w:val="000542BB"/>
    <w:rsid w:val="000610CA"/>
    <w:rsid w:val="00074916"/>
    <w:rsid w:val="000841B5"/>
    <w:rsid w:val="00086B2B"/>
    <w:rsid w:val="00087B3B"/>
    <w:rsid w:val="000924B3"/>
    <w:rsid w:val="00096F2B"/>
    <w:rsid w:val="00096F7F"/>
    <w:rsid w:val="000A0F20"/>
    <w:rsid w:val="000A4539"/>
    <w:rsid w:val="000B4D78"/>
    <w:rsid w:val="000B7FF6"/>
    <w:rsid w:val="000C1C5F"/>
    <w:rsid w:val="000C65FA"/>
    <w:rsid w:val="000D3FD2"/>
    <w:rsid w:val="000E4D6A"/>
    <w:rsid w:val="000E5AF1"/>
    <w:rsid w:val="000F6283"/>
    <w:rsid w:val="001153AF"/>
    <w:rsid w:val="0013257E"/>
    <w:rsid w:val="00136F9D"/>
    <w:rsid w:val="00143F20"/>
    <w:rsid w:val="0014564C"/>
    <w:rsid w:val="00145908"/>
    <w:rsid w:val="00151425"/>
    <w:rsid w:val="00153071"/>
    <w:rsid w:val="00154EEE"/>
    <w:rsid w:val="0016203F"/>
    <w:rsid w:val="00167206"/>
    <w:rsid w:val="00177200"/>
    <w:rsid w:val="001837D8"/>
    <w:rsid w:val="00190513"/>
    <w:rsid w:val="001B40A7"/>
    <w:rsid w:val="001B710E"/>
    <w:rsid w:val="001C4CB2"/>
    <w:rsid w:val="001C6489"/>
    <w:rsid w:val="001D3038"/>
    <w:rsid w:val="00215070"/>
    <w:rsid w:val="00220307"/>
    <w:rsid w:val="0024181D"/>
    <w:rsid w:val="00241B6F"/>
    <w:rsid w:val="0026462F"/>
    <w:rsid w:val="00264D7C"/>
    <w:rsid w:val="00273111"/>
    <w:rsid w:val="00293ABF"/>
    <w:rsid w:val="002975E9"/>
    <w:rsid w:val="002A06F1"/>
    <w:rsid w:val="002A46CE"/>
    <w:rsid w:val="002A6A2A"/>
    <w:rsid w:val="002B44C9"/>
    <w:rsid w:val="002B4947"/>
    <w:rsid w:val="002C0604"/>
    <w:rsid w:val="002D3410"/>
    <w:rsid w:val="002E4577"/>
    <w:rsid w:val="002F0BF6"/>
    <w:rsid w:val="002F18EB"/>
    <w:rsid w:val="00310E8F"/>
    <w:rsid w:val="00332742"/>
    <w:rsid w:val="00332FF9"/>
    <w:rsid w:val="00335BF2"/>
    <w:rsid w:val="0035506F"/>
    <w:rsid w:val="003552C3"/>
    <w:rsid w:val="0035644F"/>
    <w:rsid w:val="00366E76"/>
    <w:rsid w:val="0038059F"/>
    <w:rsid w:val="00391B08"/>
    <w:rsid w:val="00392AF7"/>
    <w:rsid w:val="003A0988"/>
    <w:rsid w:val="003A353E"/>
    <w:rsid w:val="003B0A73"/>
    <w:rsid w:val="003B327C"/>
    <w:rsid w:val="003B370D"/>
    <w:rsid w:val="003B45F9"/>
    <w:rsid w:val="003B7E6D"/>
    <w:rsid w:val="003C2C25"/>
    <w:rsid w:val="003C75E6"/>
    <w:rsid w:val="003D1AC6"/>
    <w:rsid w:val="003E755E"/>
    <w:rsid w:val="003F36F6"/>
    <w:rsid w:val="003F7A92"/>
    <w:rsid w:val="0040238A"/>
    <w:rsid w:val="00410EFA"/>
    <w:rsid w:val="00423B05"/>
    <w:rsid w:val="00424D23"/>
    <w:rsid w:val="00431353"/>
    <w:rsid w:val="00432950"/>
    <w:rsid w:val="0044721A"/>
    <w:rsid w:val="00462197"/>
    <w:rsid w:val="004646E5"/>
    <w:rsid w:val="00473763"/>
    <w:rsid w:val="00480FD5"/>
    <w:rsid w:val="00493AD4"/>
    <w:rsid w:val="004952C1"/>
    <w:rsid w:val="004A03AA"/>
    <w:rsid w:val="004B4C93"/>
    <w:rsid w:val="004B7D83"/>
    <w:rsid w:val="004C0563"/>
    <w:rsid w:val="004C1860"/>
    <w:rsid w:val="004C7148"/>
    <w:rsid w:val="004D2E4D"/>
    <w:rsid w:val="004E4A2C"/>
    <w:rsid w:val="004E6227"/>
    <w:rsid w:val="004F1ED8"/>
    <w:rsid w:val="0052085C"/>
    <w:rsid w:val="00525AD3"/>
    <w:rsid w:val="0053134A"/>
    <w:rsid w:val="00537F28"/>
    <w:rsid w:val="00541900"/>
    <w:rsid w:val="00560811"/>
    <w:rsid w:val="00567888"/>
    <w:rsid w:val="00581A17"/>
    <w:rsid w:val="00585E34"/>
    <w:rsid w:val="00585FA9"/>
    <w:rsid w:val="00587F2A"/>
    <w:rsid w:val="005939AC"/>
    <w:rsid w:val="00595E5C"/>
    <w:rsid w:val="005A0BAD"/>
    <w:rsid w:val="005A3DCF"/>
    <w:rsid w:val="005B1CD2"/>
    <w:rsid w:val="005B1F69"/>
    <w:rsid w:val="005B4F16"/>
    <w:rsid w:val="005D69CB"/>
    <w:rsid w:val="005E6E84"/>
    <w:rsid w:val="005F13FF"/>
    <w:rsid w:val="005F5CAB"/>
    <w:rsid w:val="00604FC2"/>
    <w:rsid w:val="006072F8"/>
    <w:rsid w:val="00607FB4"/>
    <w:rsid w:val="006256FE"/>
    <w:rsid w:val="00635126"/>
    <w:rsid w:val="0063709A"/>
    <w:rsid w:val="0064763E"/>
    <w:rsid w:val="00664111"/>
    <w:rsid w:val="006647BA"/>
    <w:rsid w:val="006804B2"/>
    <w:rsid w:val="00681727"/>
    <w:rsid w:val="006841D4"/>
    <w:rsid w:val="00686AD3"/>
    <w:rsid w:val="00693335"/>
    <w:rsid w:val="00696FE2"/>
    <w:rsid w:val="006A3483"/>
    <w:rsid w:val="006B2680"/>
    <w:rsid w:val="006D5F74"/>
    <w:rsid w:val="006E0BBF"/>
    <w:rsid w:val="006E6247"/>
    <w:rsid w:val="006E6764"/>
    <w:rsid w:val="006E69A3"/>
    <w:rsid w:val="006F7840"/>
    <w:rsid w:val="007138B7"/>
    <w:rsid w:val="007138F8"/>
    <w:rsid w:val="00720D6D"/>
    <w:rsid w:val="00723C50"/>
    <w:rsid w:val="00727AA3"/>
    <w:rsid w:val="00732235"/>
    <w:rsid w:val="007356DB"/>
    <w:rsid w:val="00735A43"/>
    <w:rsid w:val="00740148"/>
    <w:rsid w:val="00744EF5"/>
    <w:rsid w:val="00747239"/>
    <w:rsid w:val="00751C67"/>
    <w:rsid w:val="00752D3A"/>
    <w:rsid w:val="00753FAD"/>
    <w:rsid w:val="00781A92"/>
    <w:rsid w:val="00786267"/>
    <w:rsid w:val="007873BC"/>
    <w:rsid w:val="00791257"/>
    <w:rsid w:val="00792630"/>
    <w:rsid w:val="007B4CA5"/>
    <w:rsid w:val="007C4053"/>
    <w:rsid w:val="007C60D0"/>
    <w:rsid w:val="007D67A8"/>
    <w:rsid w:val="007E232D"/>
    <w:rsid w:val="007E507C"/>
    <w:rsid w:val="00810244"/>
    <w:rsid w:val="00814D27"/>
    <w:rsid w:val="00815797"/>
    <w:rsid w:val="008173F6"/>
    <w:rsid w:val="00823B1E"/>
    <w:rsid w:val="008337BD"/>
    <w:rsid w:val="008408A1"/>
    <w:rsid w:val="00846016"/>
    <w:rsid w:val="0086795F"/>
    <w:rsid w:val="008735B0"/>
    <w:rsid w:val="00876807"/>
    <w:rsid w:val="00876AC0"/>
    <w:rsid w:val="008815A9"/>
    <w:rsid w:val="008831A7"/>
    <w:rsid w:val="00886A5F"/>
    <w:rsid w:val="00886B77"/>
    <w:rsid w:val="00891583"/>
    <w:rsid w:val="008941ED"/>
    <w:rsid w:val="00894E21"/>
    <w:rsid w:val="008A2665"/>
    <w:rsid w:val="008A5B3D"/>
    <w:rsid w:val="008A5C80"/>
    <w:rsid w:val="008B4A75"/>
    <w:rsid w:val="008C1011"/>
    <w:rsid w:val="008D04EB"/>
    <w:rsid w:val="008D0D1D"/>
    <w:rsid w:val="008D1492"/>
    <w:rsid w:val="008D4773"/>
    <w:rsid w:val="008E1490"/>
    <w:rsid w:val="008E40DB"/>
    <w:rsid w:val="008F1CD0"/>
    <w:rsid w:val="008F487D"/>
    <w:rsid w:val="008F75BF"/>
    <w:rsid w:val="00903547"/>
    <w:rsid w:val="00904DE6"/>
    <w:rsid w:val="00912713"/>
    <w:rsid w:val="0092211F"/>
    <w:rsid w:val="009248A8"/>
    <w:rsid w:val="00936255"/>
    <w:rsid w:val="00942F35"/>
    <w:rsid w:val="00943781"/>
    <w:rsid w:val="009535CD"/>
    <w:rsid w:val="009623C2"/>
    <w:rsid w:val="00966A84"/>
    <w:rsid w:val="00973379"/>
    <w:rsid w:val="00973A7A"/>
    <w:rsid w:val="00977815"/>
    <w:rsid w:val="00984590"/>
    <w:rsid w:val="00984B1C"/>
    <w:rsid w:val="009926E8"/>
    <w:rsid w:val="009953F7"/>
    <w:rsid w:val="009A58E7"/>
    <w:rsid w:val="009B4897"/>
    <w:rsid w:val="009C0492"/>
    <w:rsid w:val="009C10AB"/>
    <w:rsid w:val="009C161C"/>
    <w:rsid w:val="009D20D4"/>
    <w:rsid w:val="009D6400"/>
    <w:rsid w:val="009E1311"/>
    <w:rsid w:val="009E2518"/>
    <w:rsid w:val="009E6A87"/>
    <w:rsid w:val="009F01AC"/>
    <w:rsid w:val="009F6676"/>
    <w:rsid w:val="009F6F08"/>
    <w:rsid w:val="00A05490"/>
    <w:rsid w:val="00A05E28"/>
    <w:rsid w:val="00A1443F"/>
    <w:rsid w:val="00A21DB2"/>
    <w:rsid w:val="00A25B8C"/>
    <w:rsid w:val="00A34B86"/>
    <w:rsid w:val="00A52ECB"/>
    <w:rsid w:val="00A53444"/>
    <w:rsid w:val="00A57D78"/>
    <w:rsid w:val="00A57DAC"/>
    <w:rsid w:val="00A64B31"/>
    <w:rsid w:val="00A750CE"/>
    <w:rsid w:val="00A7741E"/>
    <w:rsid w:val="00A7798E"/>
    <w:rsid w:val="00AA23F9"/>
    <w:rsid w:val="00AB3F64"/>
    <w:rsid w:val="00AB6619"/>
    <w:rsid w:val="00AE058F"/>
    <w:rsid w:val="00AF0154"/>
    <w:rsid w:val="00AF0926"/>
    <w:rsid w:val="00AF4981"/>
    <w:rsid w:val="00B127F4"/>
    <w:rsid w:val="00B23BF1"/>
    <w:rsid w:val="00B2719A"/>
    <w:rsid w:val="00B34784"/>
    <w:rsid w:val="00B366F2"/>
    <w:rsid w:val="00B62894"/>
    <w:rsid w:val="00B71622"/>
    <w:rsid w:val="00B72336"/>
    <w:rsid w:val="00B94B0D"/>
    <w:rsid w:val="00BA1E77"/>
    <w:rsid w:val="00BA1F3A"/>
    <w:rsid w:val="00BA3365"/>
    <w:rsid w:val="00BC2CC2"/>
    <w:rsid w:val="00BC6AA7"/>
    <w:rsid w:val="00BD3E81"/>
    <w:rsid w:val="00BE314F"/>
    <w:rsid w:val="00BF34E5"/>
    <w:rsid w:val="00C12442"/>
    <w:rsid w:val="00C16B87"/>
    <w:rsid w:val="00C2355F"/>
    <w:rsid w:val="00C257FD"/>
    <w:rsid w:val="00C40896"/>
    <w:rsid w:val="00C5249D"/>
    <w:rsid w:val="00C5389E"/>
    <w:rsid w:val="00C61A80"/>
    <w:rsid w:val="00C65DA3"/>
    <w:rsid w:val="00C809CC"/>
    <w:rsid w:val="00C86EDE"/>
    <w:rsid w:val="00C916A1"/>
    <w:rsid w:val="00C92C88"/>
    <w:rsid w:val="00CA5C8E"/>
    <w:rsid w:val="00CB1A44"/>
    <w:rsid w:val="00CC1662"/>
    <w:rsid w:val="00CE2F08"/>
    <w:rsid w:val="00CE5DDA"/>
    <w:rsid w:val="00CF1B30"/>
    <w:rsid w:val="00CF2241"/>
    <w:rsid w:val="00D02934"/>
    <w:rsid w:val="00D17C83"/>
    <w:rsid w:val="00D20A48"/>
    <w:rsid w:val="00D47714"/>
    <w:rsid w:val="00D477A0"/>
    <w:rsid w:val="00D5003B"/>
    <w:rsid w:val="00D6653F"/>
    <w:rsid w:val="00D74E6E"/>
    <w:rsid w:val="00D82744"/>
    <w:rsid w:val="00D82BA0"/>
    <w:rsid w:val="00D87340"/>
    <w:rsid w:val="00D90D13"/>
    <w:rsid w:val="00D94F3C"/>
    <w:rsid w:val="00DA01A3"/>
    <w:rsid w:val="00DA4BEE"/>
    <w:rsid w:val="00DA742D"/>
    <w:rsid w:val="00DA7555"/>
    <w:rsid w:val="00DB3386"/>
    <w:rsid w:val="00DB3B6D"/>
    <w:rsid w:val="00DB4B29"/>
    <w:rsid w:val="00DB513E"/>
    <w:rsid w:val="00DB76AD"/>
    <w:rsid w:val="00DC636B"/>
    <w:rsid w:val="00DD0566"/>
    <w:rsid w:val="00DD1131"/>
    <w:rsid w:val="00DF403C"/>
    <w:rsid w:val="00E03D7E"/>
    <w:rsid w:val="00E1564E"/>
    <w:rsid w:val="00E15B20"/>
    <w:rsid w:val="00E24BBF"/>
    <w:rsid w:val="00E27FC8"/>
    <w:rsid w:val="00E33A4F"/>
    <w:rsid w:val="00E346FD"/>
    <w:rsid w:val="00E3614B"/>
    <w:rsid w:val="00E36462"/>
    <w:rsid w:val="00E40DE4"/>
    <w:rsid w:val="00E47E87"/>
    <w:rsid w:val="00E53CB1"/>
    <w:rsid w:val="00E70E05"/>
    <w:rsid w:val="00E71B2A"/>
    <w:rsid w:val="00E81084"/>
    <w:rsid w:val="00E86415"/>
    <w:rsid w:val="00EB4411"/>
    <w:rsid w:val="00EC2022"/>
    <w:rsid w:val="00EC368C"/>
    <w:rsid w:val="00EC4725"/>
    <w:rsid w:val="00EC7A9D"/>
    <w:rsid w:val="00ED46B7"/>
    <w:rsid w:val="00ED77A1"/>
    <w:rsid w:val="00EE1430"/>
    <w:rsid w:val="00EE201D"/>
    <w:rsid w:val="00EE4D6F"/>
    <w:rsid w:val="00EF2C56"/>
    <w:rsid w:val="00F11865"/>
    <w:rsid w:val="00F11C6F"/>
    <w:rsid w:val="00F13D79"/>
    <w:rsid w:val="00F14457"/>
    <w:rsid w:val="00F155F6"/>
    <w:rsid w:val="00F16772"/>
    <w:rsid w:val="00F17037"/>
    <w:rsid w:val="00F22172"/>
    <w:rsid w:val="00F25DE0"/>
    <w:rsid w:val="00F30BCB"/>
    <w:rsid w:val="00F3674B"/>
    <w:rsid w:val="00F42D8A"/>
    <w:rsid w:val="00F4729C"/>
    <w:rsid w:val="00F57412"/>
    <w:rsid w:val="00F65C94"/>
    <w:rsid w:val="00F752BD"/>
    <w:rsid w:val="00F7609F"/>
    <w:rsid w:val="00F7794D"/>
    <w:rsid w:val="00F8665A"/>
    <w:rsid w:val="00F91518"/>
    <w:rsid w:val="00F926DD"/>
    <w:rsid w:val="00FA007A"/>
    <w:rsid w:val="00FB442F"/>
    <w:rsid w:val="00FB50DE"/>
    <w:rsid w:val="00FC226A"/>
    <w:rsid w:val="00FC4F4C"/>
    <w:rsid w:val="00FC5641"/>
    <w:rsid w:val="00FE0468"/>
    <w:rsid w:val="00FF4934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2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F18EB"/>
    <w:pPr>
      <w:spacing w:before="60" w:line="264" w:lineRule="auto"/>
      <w:ind w:firstLine="720"/>
      <w:jc w:val="both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link w:val="BodyTextIndent"/>
    <w:rsid w:val="002F18EB"/>
    <w:rPr>
      <w:rFonts w:ascii=".VnTime" w:hAnsi=".VnTime"/>
      <w:sz w:val="26"/>
      <w:lang w:val="en-US" w:eastAsia="en-US" w:bidi="ar-SA"/>
    </w:rPr>
  </w:style>
  <w:style w:type="character" w:styleId="PageNumber">
    <w:name w:val="page number"/>
    <w:basedOn w:val="DefaultParagraphFont"/>
    <w:rsid w:val="002F18EB"/>
  </w:style>
  <w:style w:type="paragraph" w:styleId="Footer">
    <w:name w:val="footer"/>
    <w:basedOn w:val="Normal"/>
    <w:link w:val="FooterChar"/>
    <w:rsid w:val="002F18EB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link w:val="Footer"/>
    <w:rsid w:val="002F18EB"/>
    <w:rPr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F18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18EB"/>
    <w:rPr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CE2F08"/>
    <w:pPr>
      <w:spacing w:after="120" w:line="480" w:lineRule="auto"/>
    </w:pPr>
  </w:style>
  <w:style w:type="character" w:customStyle="1" w:styleId="BodyText2Char">
    <w:name w:val="Body Text 2 Char"/>
    <w:link w:val="BodyText2"/>
    <w:rsid w:val="00CE2F08"/>
    <w:rPr>
      <w:sz w:val="24"/>
      <w:szCs w:val="24"/>
    </w:rPr>
  </w:style>
  <w:style w:type="paragraph" w:styleId="NormalWeb">
    <w:name w:val="Normal (Web)"/>
    <w:basedOn w:val="Normal"/>
    <w:uiPriority w:val="99"/>
    <w:rsid w:val="00CE2F08"/>
    <w:pPr>
      <w:spacing w:before="100" w:beforeAutospacing="1" w:after="100" w:afterAutospacing="1"/>
    </w:pPr>
    <w:rPr>
      <w:lang w:val="vi-VN" w:eastAsia="vi-VN"/>
    </w:rPr>
  </w:style>
  <w:style w:type="character" w:customStyle="1" w:styleId="apple-converted-space">
    <w:name w:val="apple-converted-space"/>
    <w:rsid w:val="00CE2F08"/>
  </w:style>
  <w:style w:type="character" w:styleId="Strong">
    <w:name w:val="Strong"/>
    <w:uiPriority w:val="22"/>
    <w:qFormat/>
    <w:rsid w:val="007C4053"/>
    <w:rPr>
      <w:b/>
      <w:bCs/>
    </w:rPr>
  </w:style>
  <w:style w:type="character" w:styleId="Emphasis">
    <w:name w:val="Emphasis"/>
    <w:uiPriority w:val="20"/>
    <w:qFormat/>
    <w:rsid w:val="000E4D6A"/>
    <w:rPr>
      <w:i/>
      <w:iCs/>
    </w:rPr>
  </w:style>
  <w:style w:type="character" w:styleId="Hyperlink">
    <w:name w:val="Hyperlink"/>
    <w:uiPriority w:val="99"/>
    <w:unhideWhenUsed/>
    <w:rsid w:val="00BA3365"/>
    <w:rPr>
      <w:color w:val="0000FF"/>
      <w:u w:val="single"/>
    </w:rPr>
  </w:style>
  <w:style w:type="paragraph" w:customStyle="1" w:styleId="style1">
    <w:name w:val="style1"/>
    <w:basedOn w:val="Normal"/>
    <w:rsid w:val="00AF0926"/>
    <w:pPr>
      <w:spacing w:before="100" w:beforeAutospacing="1" w:after="100" w:afterAutospacing="1"/>
    </w:pPr>
  </w:style>
  <w:style w:type="paragraph" w:styleId="BodyText">
    <w:name w:val="Body Text"/>
    <w:aliases w:val="Body Text Char Char Char"/>
    <w:basedOn w:val="Normal"/>
    <w:link w:val="BodyTextChar"/>
    <w:rsid w:val="006804B2"/>
    <w:pPr>
      <w:spacing w:after="120"/>
    </w:pPr>
    <w:rPr>
      <w:rFonts w:ascii=".VnTime" w:hAnsi=".VnTime"/>
      <w:sz w:val="28"/>
    </w:rPr>
  </w:style>
  <w:style w:type="character" w:customStyle="1" w:styleId="BodyTextChar">
    <w:name w:val="Body Text Char"/>
    <w:aliases w:val="Body Text Char Char Char Char"/>
    <w:basedOn w:val="DefaultParagraphFont"/>
    <w:link w:val="BodyText"/>
    <w:rsid w:val="006804B2"/>
    <w:rPr>
      <w:rFonts w:ascii=".VnTime" w:hAnsi=".VnTime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57D07-0832-48E3-B960-7C1F1B67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A0D42B-0BA4-42BF-BAE0-92608ADEB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BCE03-4688-441F-91A2-F73F6D3FBC0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72F7AF-CDC9-43C7-AA19-D9CF0D58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</vt:lpstr>
    </vt:vector>
  </TitlesOfParts>
  <Company>mof</Company>
  <LinksUpToDate>false</LinksUpToDate>
  <CharactersWithSpaces>2861</CharactersWithSpaces>
  <SharedDoc>false</SharedDoc>
  <HLinks>
    <vt:vector size="18" baseType="variant">
      <vt:variant>
        <vt:i4>655449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https://thuvienphapluat.vn/van-ban/tai-chinh-nha-nuoc/thong-tu-139-2010-tt-btc-lap-du-toan-quan-ly-su-dung-kinh-phi-tu-ngan-sach-111917.aspx</vt:lpwstr>
      </vt:variant>
      <vt:variant>
        <vt:lpwstr/>
      </vt:variant>
      <vt:variant>
        <vt:i4>7995506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https://thuvienphapluat.vn/van-ban/tai-chinh-nha-nuoc/thong-tu-01-2010-tt-btc-che-do-chi-tieu-don-tiep-khach-nuoc-ngoai-vao-lam-viec-tai-viet-nam-to-chuc-cac-hoi-nghi-hoi-thao-quoc-te-100160.aspx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https://thuvienphapluat.vn/van-ban/bo-may-hanh-chinh/thong-tu-40-2017-tt-btc-cong-tac-phi-chi-hoi-nghi-doi-voi-co-quan-nha-nuoc-su-nghiep-cong-lap-327960.aspx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</dc:title>
  <dc:creator>mof</dc:creator>
  <cp:lastModifiedBy>trankhanhlinh1</cp:lastModifiedBy>
  <cp:revision>113</cp:revision>
  <cp:lastPrinted>2025-04-16T07:12:00Z</cp:lastPrinted>
  <dcterms:created xsi:type="dcterms:W3CDTF">2022-01-17T03:17:00Z</dcterms:created>
  <dcterms:modified xsi:type="dcterms:W3CDTF">2025-04-17T03:46:00Z</dcterms:modified>
</cp:coreProperties>
</file>