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F60" w:rsidRPr="00AA7F60" w:rsidRDefault="00AA7F60" w:rsidP="00AA7F60">
      <w:pPr>
        <w:spacing w:after="0" w:line="240" w:lineRule="auto"/>
        <w:rPr>
          <w:rFonts w:ascii="Times New Roman" w:hAnsi="Times New Roman"/>
          <w:b/>
          <w:sz w:val="28"/>
          <w:szCs w:val="28"/>
          <w:lang w:val="en-US"/>
        </w:rPr>
      </w:pPr>
      <w:r w:rsidRPr="00AA7F60">
        <w:rPr>
          <w:rFonts w:ascii="Times New Roman" w:hAnsi="Times New Roman"/>
          <w:b/>
          <w:sz w:val="28"/>
          <w:szCs w:val="28"/>
          <w:lang w:val="en-US"/>
        </w:rPr>
        <w:t>BỘ TÀI CHÍNH</w:t>
      </w:r>
    </w:p>
    <w:p w:rsidR="00AA7F60" w:rsidRDefault="00AA7F60" w:rsidP="00AA7F60">
      <w:pPr>
        <w:spacing w:after="0" w:line="240" w:lineRule="auto"/>
        <w:rPr>
          <w:rFonts w:ascii="Times New Roman" w:hAnsi="Times New Roman"/>
          <w:sz w:val="28"/>
          <w:szCs w:val="28"/>
          <w:lang w:val="en-US"/>
        </w:rPr>
      </w:pPr>
    </w:p>
    <w:p w:rsidR="00AA7F60" w:rsidRPr="00AA7F60" w:rsidRDefault="00AA7F60" w:rsidP="00AA7F60">
      <w:pPr>
        <w:spacing w:after="0" w:line="240" w:lineRule="auto"/>
        <w:jc w:val="center"/>
        <w:rPr>
          <w:rFonts w:ascii="Times New Roman" w:hAnsi="Times New Roman"/>
          <w:b/>
          <w:sz w:val="28"/>
          <w:szCs w:val="28"/>
          <w:lang w:val="en-US"/>
        </w:rPr>
      </w:pPr>
      <w:r w:rsidRPr="00AA7F60">
        <w:rPr>
          <w:rFonts w:ascii="Times New Roman" w:hAnsi="Times New Roman"/>
          <w:b/>
          <w:sz w:val="28"/>
          <w:szCs w:val="28"/>
          <w:lang w:val="en-US"/>
        </w:rPr>
        <w:t xml:space="preserve">THUYẾT MINH CƠ SỞ XÂY DỰNG THÔNG TƯ </w:t>
      </w:r>
    </w:p>
    <w:p w:rsidR="00085A65" w:rsidRPr="00C521CF" w:rsidRDefault="00B94D03" w:rsidP="004C61BF">
      <w:pPr>
        <w:spacing w:after="0" w:line="240" w:lineRule="auto"/>
        <w:jc w:val="center"/>
        <w:rPr>
          <w:rFonts w:ascii="Times New Roman" w:hAnsi="Times New Roman"/>
          <w:b/>
          <w:i/>
          <w:sz w:val="28"/>
          <w:szCs w:val="28"/>
          <w:lang w:val="en-US"/>
        </w:rPr>
      </w:pPr>
      <w:proofErr w:type="gramStart"/>
      <w:r w:rsidRPr="00C521CF">
        <w:rPr>
          <w:rFonts w:ascii="Times New Roman" w:hAnsi="Times New Roman"/>
          <w:b/>
          <w:i/>
          <w:sz w:val="28"/>
          <w:szCs w:val="28"/>
          <w:lang w:val="en-US"/>
        </w:rPr>
        <w:t>bãi</w:t>
      </w:r>
      <w:proofErr w:type="gramEnd"/>
      <w:r w:rsidRPr="00C521CF">
        <w:rPr>
          <w:rFonts w:ascii="Times New Roman" w:hAnsi="Times New Roman"/>
          <w:b/>
          <w:i/>
          <w:sz w:val="28"/>
          <w:szCs w:val="28"/>
          <w:lang w:val="en-US"/>
        </w:rPr>
        <w:t xml:space="preserve"> bỏ hiệu lực của các văn bản quy phạm pháp luật do Bộ trưởng Bộ Tài chính ban hành thuộc lĩnh vực Tài chính doanh nghiệp</w:t>
      </w:r>
    </w:p>
    <w:p w:rsidR="004C61BF" w:rsidRDefault="003D274A" w:rsidP="004C61BF">
      <w:pPr>
        <w:spacing w:after="120"/>
        <w:jc w:val="both"/>
        <w:rPr>
          <w:rFonts w:ascii="Times New Roman" w:hAnsi="Times New Roman"/>
          <w:sz w:val="28"/>
          <w:szCs w:val="28"/>
          <w:lang w:val="en-US"/>
        </w:rPr>
      </w:pPr>
      <w:r>
        <w:rPr>
          <w:rFonts w:ascii="Times New Roman" w:hAnsi="Times New Roman"/>
          <w:noProof/>
          <w:sz w:val="28"/>
          <w:szCs w:val="28"/>
          <w:lang w:val="en-US"/>
        </w:rPr>
        <w:pict>
          <v:shapetype id="_x0000_t32" coordsize="21600,21600" o:spt="32" o:oned="t" path="m,l21600,21600e" filled="f">
            <v:path arrowok="t" fillok="f" o:connecttype="none"/>
            <o:lock v:ext="edit" shapetype="t"/>
          </v:shapetype>
          <v:shape id="_x0000_s1034" type="#_x0000_t32" style="position:absolute;left:0;text-align:left;margin-left:181.2pt;margin-top:2.4pt;width:87.9pt;height:0;z-index:251659264" o:connectortype="straight"/>
        </w:pict>
      </w:r>
    </w:p>
    <w:p w:rsidR="00AA7F60" w:rsidRDefault="00AA7F60" w:rsidP="006D5811">
      <w:pPr>
        <w:spacing w:before="120" w:after="120" w:line="240" w:lineRule="auto"/>
        <w:ind w:firstLine="720"/>
        <w:jc w:val="both"/>
        <w:rPr>
          <w:rFonts w:ascii="Times New Roman" w:hAnsi="Times New Roman"/>
          <w:sz w:val="28"/>
          <w:szCs w:val="28"/>
          <w:lang w:val="en-US"/>
        </w:rPr>
      </w:pPr>
      <w:r w:rsidRPr="00AA7F60">
        <w:rPr>
          <w:rFonts w:ascii="Times New Roman" w:hAnsi="Times New Roman"/>
          <w:sz w:val="28"/>
          <w:szCs w:val="28"/>
          <w:lang w:val="en-US"/>
        </w:rPr>
        <w:t xml:space="preserve">Căn </w:t>
      </w:r>
      <w:proofErr w:type="gramStart"/>
      <w:r w:rsidRPr="00AA7F60">
        <w:rPr>
          <w:rFonts w:ascii="Times New Roman" w:hAnsi="Times New Roman"/>
          <w:sz w:val="28"/>
          <w:szCs w:val="28"/>
          <w:lang w:val="en-US"/>
        </w:rPr>
        <w:t xml:space="preserve">cứ  </w:t>
      </w:r>
      <w:r w:rsidR="00C521CF">
        <w:rPr>
          <w:rFonts w:ascii="Times New Roman" w:hAnsi="Times New Roman"/>
          <w:sz w:val="28"/>
          <w:szCs w:val="28"/>
          <w:lang w:val="en-US"/>
        </w:rPr>
        <w:t>quy</w:t>
      </w:r>
      <w:proofErr w:type="gramEnd"/>
      <w:r w:rsidR="00C521CF">
        <w:rPr>
          <w:rFonts w:ascii="Times New Roman" w:hAnsi="Times New Roman"/>
          <w:sz w:val="28"/>
          <w:szCs w:val="28"/>
          <w:lang w:val="en-US"/>
        </w:rPr>
        <w:t xml:space="preserve"> định của Luật Ban hành văn bản quy phạm pháp luật, </w:t>
      </w:r>
      <w:r w:rsidRPr="00AA7F60">
        <w:rPr>
          <w:rFonts w:ascii="Times New Roman" w:hAnsi="Times New Roman"/>
          <w:sz w:val="28"/>
          <w:szCs w:val="28"/>
          <w:lang w:val="en-US"/>
        </w:rPr>
        <w:t>, kết quả rà soát</w:t>
      </w:r>
      <w:r w:rsidR="00C521CF">
        <w:rPr>
          <w:rFonts w:ascii="Times New Roman" w:hAnsi="Times New Roman"/>
          <w:sz w:val="28"/>
          <w:szCs w:val="28"/>
          <w:lang w:val="en-US"/>
        </w:rPr>
        <w:t xml:space="preserve"> </w:t>
      </w:r>
      <w:r w:rsidRPr="00AA7F60">
        <w:rPr>
          <w:rFonts w:ascii="Times New Roman" w:hAnsi="Times New Roman"/>
          <w:sz w:val="28"/>
          <w:szCs w:val="28"/>
          <w:lang w:val="en-US"/>
        </w:rPr>
        <w:t xml:space="preserve">hiệu lực </w:t>
      </w:r>
      <w:r w:rsidR="00C521CF">
        <w:rPr>
          <w:rFonts w:ascii="Times New Roman" w:hAnsi="Times New Roman"/>
          <w:sz w:val="28"/>
          <w:szCs w:val="28"/>
          <w:lang w:val="en-US"/>
        </w:rPr>
        <w:t xml:space="preserve">pháp lý </w:t>
      </w:r>
      <w:r w:rsidRPr="00AA7F60">
        <w:rPr>
          <w:rFonts w:ascii="Times New Roman" w:hAnsi="Times New Roman"/>
          <w:sz w:val="28"/>
          <w:szCs w:val="28"/>
          <w:lang w:val="en-US"/>
        </w:rPr>
        <w:t>của các văn bản quy phạm pháp luật do Bộ Tài chính ban hành thuộc lĩnh vực Tài chính doanh nghiệp</w:t>
      </w:r>
      <w:r w:rsidR="00C521CF">
        <w:rPr>
          <w:rFonts w:ascii="Times New Roman" w:hAnsi="Times New Roman"/>
          <w:sz w:val="28"/>
          <w:szCs w:val="28"/>
          <w:lang w:val="en-US"/>
        </w:rPr>
        <w:t xml:space="preserve"> </w:t>
      </w:r>
      <w:r w:rsidR="00EE6615" w:rsidRPr="00AA7F60">
        <w:rPr>
          <w:rFonts w:ascii="Times New Roman" w:hAnsi="Times New Roman"/>
          <w:sz w:val="28"/>
          <w:szCs w:val="28"/>
          <w:lang w:val="en-US"/>
        </w:rPr>
        <w:t>do Bộ Tài chính ban hành mà thực tế không còn thực hiện hoặc chưa có văn bản quy phạm pháp luật nào tuyên bố chấm dứt hết hiệu lực của các văn bản này</w:t>
      </w:r>
      <w:r w:rsidR="00EE6615">
        <w:rPr>
          <w:rFonts w:ascii="Times New Roman" w:hAnsi="Times New Roman"/>
          <w:sz w:val="28"/>
          <w:szCs w:val="28"/>
          <w:lang w:val="en-US"/>
        </w:rPr>
        <w:t xml:space="preserve"> </w:t>
      </w:r>
      <w:r w:rsidR="00C521CF">
        <w:rPr>
          <w:rFonts w:ascii="Times New Roman" w:hAnsi="Times New Roman"/>
          <w:sz w:val="28"/>
          <w:szCs w:val="28"/>
          <w:lang w:val="en-US"/>
        </w:rPr>
        <w:t>cụ thể như sau:</w:t>
      </w:r>
    </w:p>
    <w:p w:rsidR="0063069D" w:rsidRPr="001B06DA" w:rsidRDefault="0063069D" w:rsidP="006D5811">
      <w:pPr>
        <w:spacing w:before="120" w:after="120" w:line="240" w:lineRule="auto"/>
        <w:ind w:firstLine="720"/>
        <w:jc w:val="both"/>
        <w:rPr>
          <w:rFonts w:ascii="Times New Roman" w:hAnsi="Times New Roman"/>
          <w:sz w:val="28"/>
          <w:szCs w:val="28"/>
          <w:lang w:val="en-US"/>
        </w:rPr>
      </w:pPr>
      <w:r w:rsidRPr="00DD5E73">
        <w:rPr>
          <w:rFonts w:ascii="Times New Roman" w:hAnsi="Times New Roman"/>
          <w:b/>
          <w:sz w:val="28"/>
          <w:szCs w:val="24"/>
          <w:lang w:val="en-US"/>
        </w:rPr>
        <w:t>1.</w:t>
      </w:r>
      <w:r w:rsidRPr="0063069D">
        <w:rPr>
          <w:rFonts w:ascii="Times New Roman" w:hAnsi="Times New Roman"/>
          <w:sz w:val="28"/>
          <w:szCs w:val="24"/>
          <w:lang w:val="en-US"/>
        </w:rPr>
        <w:t xml:space="preserve"> </w:t>
      </w:r>
      <w:r w:rsidR="005267CE" w:rsidRPr="005D1495">
        <w:rPr>
          <w:rFonts w:ascii="Times New Roman" w:hAnsi="Times New Roman"/>
          <w:sz w:val="28"/>
          <w:szCs w:val="28"/>
          <w:lang w:val="en-US"/>
        </w:rPr>
        <w:t>Thông tư số 155/2009/TT-BTC ngày 31/7/2009 của Bộ Tài chính hướng dẫn chế độ phân phối lợi nhuận của công ty nhà nước</w:t>
      </w:r>
      <w:r w:rsidR="001B06DA">
        <w:rPr>
          <w:rFonts w:ascii="Times New Roman" w:hAnsi="Times New Roman"/>
          <w:sz w:val="28"/>
          <w:szCs w:val="28"/>
          <w:lang w:val="en-US"/>
        </w:rPr>
        <w:t xml:space="preserve"> </w:t>
      </w:r>
      <w:proofErr w:type="gramStart"/>
      <w:r w:rsidR="001B06DA" w:rsidRPr="001B06DA">
        <w:rPr>
          <w:rFonts w:ascii="Times New Roman" w:hAnsi="Times New Roman"/>
          <w:sz w:val="28"/>
          <w:szCs w:val="28"/>
          <w:lang w:val="en-US"/>
        </w:rPr>
        <w:t>theo</w:t>
      </w:r>
      <w:proofErr w:type="gramEnd"/>
      <w:r w:rsidR="001B06DA" w:rsidRPr="001B06DA">
        <w:rPr>
          <w:rFonts w:ascii="Times New Roman" w:hAnsi="Times New Roman"/>
          <w:sz w:val="28"/>
          <w:szCs w:val="28"/>
          <w:lang w:val="en-US"/>
        </w:rPr>
        <w:t xml:space="preserve"> quy định tại Nghị định số 09/2009/NĐ-CP ngày 05/02/2009 của Chính phủ</w:t>
      </w:r>
      <w:r w:rsidR="005C24F0" w:rsidRPr="001B06DA">
        <w:rPr>
          <w:rFonts w:ascii="Times New Roman" w:hAnsi="Times New Roman"/>
          <w:sz w:val="28"/>
          <w:szCs w:val="28"/>
          <w:lang w:val="en-US"/>
        </w:rPr>
        <w:t>.</w:t>
      </w:r>
    </w:p>
    <w:p w:rsidR="002E4CCA" w:rsidRDefault="00043B8B" w:rsidP="006D5811">
      <w:pPr>
        <w:spacing w:before="120" w:after="120" w:line="240" w:lineRule="auto"/>
        <w:ind w:firstLine="720"/>
        <w:jc w:val="both"/>
        <w:rPr>
          <w:rFonts w:ascii="Times New Roman" w:hAnsi="Times New Roman"/>
          <w:b/>
          <w:sz w:val="28"/>
          <w:szCs w:val="24"/>
          <w:lang w:val="en-US"/>
        </w:rPr>
      </w:pPr>
      <w:r w:rsidRPr="00D72C02">
        <w:rPr>
          <w:rFonts w:ascii="Times New Roman" w:hAnsi="Times New Roman"/>
          <w:b/>
          <w:sz w:val="28"/>
          <w:szCs w:val="24"/>
          <w:lang w:val="en-US"/>
        </w:rPr>
        <w:t xml:space="preserve">- </w:t>
      </w:r>
      <w:r w:rsidR="005C24F0" w:rsidRPr="00D72C02">
        <w:rPr>
          <w:rFonts w:ascii="Times New Roman" w:hAnsi="Times New Roman"/>
          <w:b/>
          <w:sz w:val="28"/>
          <w:szCs w:val="24"/>
          <w:lang w:val="en-US"/>
        </w:rPr>
        <w:t xml:space="preserve">Lý </w:t>
      </w:r>
      <w:proofErr w:type="gramStart"/>
      <w:r w:rsidR="005C24F0" w:rsidRPr="00D72C02">
        <w:rPr>
          <w:rFonts w:ascii="Times New Roman" w:hAnsi="Times New Roman"/>
          <w:b/>
          <w:sz w:val="28"/>
          <w:szCs w:val="24"/>
          <w:lang w:val="en-US"/>
        </w:rPr>
        <w:t>do</w:t>
      </w:r>
      <w:proofErr w:type="gramEnd"/>
      <w:r w:rsidR="005C24F0" w:rsidRPr="00D72C02">
        <w:rPr>
          <w:rFonts w:ascii="Times New Roman" w:hAnsi="Times New Roman"/>
          <w:b/>
          <w:sz w:val="28"/>
          <w:szCs w:val="24"/>
          <w:lang w:val="en-US"/>
        </w:rPr>
        <w:t xml:space="preserve"> bãi bỏ:</w:t>
      </w:r>
    </w:p>
    <w:p w:rsidR="00A35C2F" w:rsidRDefault="002E4CCA" w:rsidP="006D5811">
      <w:pPr>
        <w:spacing w:before="120" w:after="120" w:line="240" w:lineRule="auto"/>
        <w:ind w:firstLine="720"/>
        <w:jc w:val="both"/>
        <w:rPr>
          <w:rFonts w:ascii="Times New Roman" w:hAnsi="Times New Roman"/>
          <w:sz w:val="28"/>
          <w:szCs w:val="28"/>
          <w:lang w:val="en-US"/>
        </w:rPr>
      </w:pPr>
      <w:r w:rsidRPr="002E4CCA">
        <w:rPr>
          <w:rFonts w:ascii="Times New Roman" w:hAnsi="Times New Roman"/>
          <w:sz w:val="28"/>
          <w:szCs w:val="28"/>
        </w:rPr>
        <w:t xml:space="preserve">+ Luật Doanh nghiệp </w:t>
      </w:r>
      <w:r>
        <w:rPr>
          <w:rFonts w:ascii="Times New Roman" w:hAnsi="Times New Roman"/>
          <w:sz w:val="28"/>
          <w:szCs w:val="28"/>
          <w:lang w:val="en-US"/>
        </w:rPr>
        <w:t xml:space="preserve">năm 2005 đã bãi bỏ Luật Doanh nghiệp nhà nước năm 2003; Chính phủ đã ban hành Nghị định số 25/2010/NĐ-CP ngày 19/3/2010 về việc chuyển đổi công ty nhà nước </w:t>
      </w:r>
      <w:r w:rsidRPr="002E4CCA">
        <w:rPr>
          <w:rFonts w:ascii="Times New Roman" w:hAnsi="Times New Roman"/>
          <w:sz w:val="28"/>
          <w:szCs w:val="28"/>
          <w:lang w:val="en-US"/>
        </w:rPr>
        <w:t xml:space="preserve">thành </w:t>
      </w:r>
      <w:hyperlink r:id="rId7" w:tgtFrame="_blank" w:tooltip="Công ty" w:history="1">
        <w:r w:rsidRPr="002E4CCA">
          <w:rPr>
            <w:rFonts w:ascii="Times New Roman" w:hAnsi="Times New Roman"/>
            <w:sz w:val="28"/>
            <w:szCs w:val="28"/>
            <w:lang w:val="en-US"/>
          </w:rPr>
          <w:t>Công ty</w:t>
        </w:r>
      </w:hyperlink>
      <w:r w:rsidRPr="002E4CCA">
        <w:rPr>
          <w:rFonts w:ascii="Times New Roman" w:hAnsi="Times New Roman"/>
          <w:sz w:val="28"/>
          <w:szCs w:val="28"/>
          <w:lang w:val="en-US"/>
        </w:rPr>
        <w:t xml:space="preserve"> trách nhiệm hữu hạn một thành viên và tổ chức quản lý </w:t>
      </w:r>
      <w:hyperlink r:id="rId8" w:tgtFrame="_blank" w:tooltip="công ty" w:history="1">
        <w:r w:rsidRPr="002E4CCA">
          <w:rPr>
            <w:rFonts w:ascii="Times New Roman" w:hAnsi="Times New Roman"/>
            <w:sz w:val="28"/>
            <w:szCs w:val="28"/>
            <w:lang w:val="en-US"/>
          </w:rPr>
          <w:t>công ty</w:t>
        </w:r>
      </w:hyperlink>
      <w:r w:rsidRPr="002E4CCA">
        <w:rPr>
          <w:rFonts w:ascii="Times New Roman" w:hAnsi="Times New Roman"/>
          <w:sz w:val="28"/>
          <w:szCs w:val="28"/>
          <w:lang w:val="en-US"/>
        </w:rPr>
        <w:t xml:space="preserve"> trách nhiệm hữu hạn một thành viên</w:t>
      </w:r>
      <w:r>
        <w:rPr>
          <w:rFonts w:ascii="Times New Roman" w:hAnsi="Times New Roman"/>
          <w:sz w:val="28"/>
          <w:szCs w:val="28"/>
          <w:lang w:val="en-US"/>
        </w:rPr>
        <w:t xml:space="preserve"> (TNHH MTV)</w:t>
      </w:r>
      <w:r w:rsidRPr="002E4CCA">
        <w:rPr>
          <w:rFonts w:ascii="Times New Roman" w:hAnsi="Times New Roman"/>
          <w:sz w:val="28"/>
          <w:szCs w:val="28"/>
          <w:lang w:val="en-US"/>
        </w:rPr>
        <w:t xml:space="preserve"> do Nhà nước làm chủ sở hữu</w:t>
      </w:r>
      <w:r w:rsidR="00774380">
        <w:rPr>
          <w:rFonts w:ascii="Times New Roman" w:hAnsi="Times New Roman"/>
          <w:sz w:val="28"/>
          <w:szCs w:val="28"/>
          <w:lang w:val="en-US"/>
        </w:rPr>
        <w:t xml:space="preserve"> (được thay thế bởi Nghị định số 89/2024/NĐ-CP ngày 16/7/2024 của Chính phủ về chuyển đổi công ty nhà nước được thành lập và hoạt động theo Luật Doanh nghiệp nhà nước thành công ty TNHH MTV tổ chức và hoạt động theo quy định tại Luật Doanh nghiệp)</w:t>
      </w:r>
      <w:r w:rsidRPr="002E4CCA">
        <w:rPr>
          <w:rFonts w:ascii="Times New Roman" w:hAnsi="Times New Roman"/>
          <w:sz w:val="28"/>
          <w:szCs w:val="28"/>
          <w:lang w:val="en-US"/>
        </w:rPr>
        <w:t>.</w:t>
      </w:r>
      <w:r>
        <w:rPr>
          <w:rFonts w:ascii="Times New Roman" w:hAnsi="Times New Roman"/>
          <w:sz w:val="28"/>
          <w:szCs w:val="28"/>
          <w:lang w:val="en-US"/>
        </w:rPr>
        <w:t xml:space="preserve"> Theo đó, các công ty nhà nước phải thực hiện chuyển đổi thành Công ty </w:t>
      </w:r>
      <w:r w:rsidR="00A35C2F">
        <w:rPr>
          <w:rFonts w:ascii="Times New Roman" w:hAnsi="Times New Roman"/>
          <w:sz w:val="28"/>
          <w:szCs w:val="28"/>
          <w:lang w:val="en-US"/>
        </w:rPr>
        <w:t>TNHH MTV do Nhà nước nắm giữ 100% vốn điều lệ hoạt động chung theo quy định của Luật Doanh nghiệ</w:t>
      </w:r>
      <w:r w:rsidR="00774380">
        <w:rPr>
          <w:rFonts w:ascii="Times New Roman" w:hAnsi="Times New Roman"/>
          <w:sz w:val="28"/>
          <w:szCs w:val="28"/>
          <w:lang w:val="en-US"/>
        </w:rPr>
        <w:t>p</w:t>
      </w:r>
      <w:r w:rsidR="00A35C2F">
        <w:rPr>
          <w:rFonts w:ascii="Times New Roman" w:hAnsi="Times New Roman"/>
          <w:sz w:val="28"/>
          <w:szCs w:val="28"/>
          <w:lang w:val="en-US"/>
        </w:rPr>
        <w:t>.</w:t>
      </w:r>
    </w:p>
    <w:p w:rsidR="001B06DA" w:rsidRDefault="001B06DA" w:rsidP="006D5811">
      <w:pPr>
        <w:spacing w:before="120" w:after="120" w:line="240" w:lineRule="auto"/>
        <w:ind w:firstLine="720"/>
        <w:jc w:val="both"/>
        <w:rPr>
          <w:rFonts w:ascii="Times New Roman" w:hAnsi="Times New Roman"/>
          <w:sz w:val="28"/>
          <w:szCs w:val="28"/>
          <w:lang w:val="en-US"/>
        </w:rPr>
      </w:pPr>
      <w:r>
        <w:rPr>
          <w:rFonts w:ascii="Times New Roman" w:hAnsi="Times New Roman"/>
          <w:sz w:val="28"/>
          <w:szCs w:val="28"/>
          <w:lang w:val="en-US"/>
        </w:rPr>
        <w:t>+ Nghị định số 09/2009/</w:t>
      </w:r>
      <w:r w:rsidRPr="001B06DA">
        <w:rPr>
          <w:rFonts w:ascii="Times New Roman" w:hAnsi="Times New Roman"/>
          <w:sz w:val="28"/>
          <w:szCs w:val="28"/>
          <w:lang w:val="en-US"/>
        </w:rPr>
        <w:t>NĐ-CP ngày 05/02/2009 của Chính phủ</w:t>
      </w:r>
      <w:r>
        <w:rPr>
          <w:rFonts w:ascii="Times New Roman" w:hAnsi="Times New Roman"/>
          <w:sz w:val="28"/>
          <w:szCs w:val="28"/>
          <w:lang w:val="en-US"/>
        </w:rPr>
        <w:t xml:space="preserve"> ban hành </w:t>
      </w:r>
      <w:r w:rsidRPr="001B06DA">
        <w:rPr>
          <w:rFonts w:ascii="Times New Roman" w:hAnsi="Times New Roman"/>
          <w:sz w:val="28"/>
          <w:szCs w:val="28"/>
          <w:lang w:val="en-US"/>
        </w:rPr>
        <w:t>Quy chế quản lý tài chính của công ty nhà nước và quản lý vốn nhà nước đầu tư vào doanh nghiệp khác</w:t>
      </w:r>
      <w:r>
        <w:rPr>
          <w:rFonts w:ascii="Times New Roman" w:hAnsi="Times New Roman"/>
          <w:sz w:val="28"/>
          <w:szCs w:val="28"/>
          <w:lang w:val="en-US"/>
        </w:rPr>
        <w:t xml:space="preserve"> đã được thay thế bởi Nghị định số 91/2015/NĐ-CP </w:t>
      </w:r>
      <w:r w:rsidRPr="00477877">
        <w:rPr>
          <w:rFonts w:ascii="Times New Roman" w:hAnsi="Times New Roman"/>
          <w:sz w:val="28"/>
          <w:szCs w:val="28"/>
        </w:rPr>
        <w:t xml:space="preserve">ngày 13/10/2015 </w:t>
      </w:r>
      <w:r>
        <w:rPr>
          <w:rFonts w:ascii="Times New Roman" w:hAnsi="Times New Roman"/>
          <w:sz w:val="28"/>
          <w:szCs w:val="28"/>
          <w:lang w:val="en-US"/>
        </w:rPr>
        <w:t xml:space="preserve">của Chính phủ về đầu tư vốn nhà nước vào doanh nghiệp và quản lý, sử dụng vốn, tài sản tại doanh nghiệp). </w:t>
      </w:r>
    </w:p>
    <w:p w:rsidR="00DD5E73" w:rsidRDefault="00A35C2F" w:rsidP="006D5811">
      <w:pPr>
        <w:spacing w:before="120" w:after="120" w:line="240" w:lineRule="auto"/>
        <w:ind w:firstLine="720"/>
        <w:jc w:val="both"/>
        <w:rPr>
          <w:rFonts w:ascii="Times New Roman" w:hAnsi="Times New Roman"/>
          <w:sz w:val="28"/>
          <w:szCs w:val="28"/>
        </w:rPr>
      </w:pPr>
      <w:r w:rsidRPr="002E4CCA">
        <w:rPr>
          <w:rFonts w:ascii="Times New Roman" w:hAnsi="Times New Roman"/>
          <w:sz w:val="28"/>
          <w:szCs w:val="28"/>
          <w:lang w:val="en-US"/>
        </w:rPr>
        <w:t xml:space="preserve"> </w:t>
      </w:r>
      <w:r w:rsidR="002E4CCA" w:rsidRPr="002E4CCA">
        <w:rPr>
          <w:rFonts w:ascii="Times New Roman" w:hAnsi="Times New Roman"/>
          <w:sz w:val="28"/>
          <w:szCs w:val="28"/>
        </w:rPr>
        <w:t xml:space="preserve">+ </w:t>
      </w:r>
      <w:r w:rsidR="00DD5E73" w:rsidRPr="002E4CCA">
        <w:rPr>
          <w:rFonts w:ascii="Times New Roman" w:hAnsi="Times New Roman"/>
          <w:sz w:val="28"/>
          <w:szCs w:val="28"/>
        </w:rPr>
        <w:t xml:space="preserve"> </w:t>
      </w:r>
      <w:r w:rsidR="00DD5E73" w:rsidRPr="00477877">
        <w:rPr>
          <w:rFonts w:ascii="Times New Roman" w:hAnsi="Times New Roman"/>
          <w:sz w:val="28"/>
          <w:szCs w:val="28"/>
        </w:rPr>
        <w:t xml:space="preserve">Luật quản lý và sử dụng vốn nhà nước đầu tư vào sản xuất, kinh doanh tại doanh nghiệp số 69/2014/QH13 ngày 26/11/2014, Nghị định số 91/2015/NĐ-CP ngày 13/10/2015 </w:t>
      </w:r>
      <w:r w:rsidR="005267CE">
        <w:rPr>
          <w:rFonts w:ascii="Times New Roman" w:hAnsi="Times New Roman"/>
          <w:sz w:val="28"/>
          <w:szCs w:val="28"/>
          <w:lang w:val="en-US"/>
        </w:rPr>
        <w:t xml:space="preserve">của Chính phủ về đầu tư vốn nhà nước vào doanh nghiệp và quản lý, sử dụng vốn, tài sản tại doanh nghiệp (được sửa đổi, bổ sung tại </w:t>
      </w:r>
      <w:r w:rsidR="00DD5E73" w:rsidRPr="00477877">
        <w:rPr>
          <w:rFonts w:ascii="Times New Roman" w:hAnsi="Times New Roman"/>
          <w:sz w:val="28"/>
          <w:szCs w:val="28"/>
        </w:rPr>
        <w:t>Nghị định số 32/2018/NĐ-CP</w:t>
      </w:r>
      <w:r w:rsidR="005267CE">
        <w:rPr>
          <w:rFonts w:ascii="Times New Roman" w:hAnsi="Times New Roman"/>
          <w:sz w:val="28"/>
          <w:szCs w:val="28"/>
          <w:lang w:val="en-US"/>
        </w:rPr>
        <w:t xml:space="preserve"> ngày 08/3/2018 của Chính phủ; Nghị định số 121/2020/NĐ-CP</w:t>
      </w:r>
      <w:r w:rsidR="002E4CCA">
        <w:rPr>
          <w:rFonts w:ascii="Times New Roman" w:hAnsi="Times New Roman"/>
          <w:sz w:val="28"/>
          <w:szCs w:val="28"/>
          <w:lang w:val="en-US"/>
        </w:rPr>
        <w:t xml:space="preserve"> ngày 09/10/2020 của Chính phủ</w:t>
      </w:r>
      <w:r w:rsidR="005267CE">
        <w:rPr>
          <w:rFonts w:ascii="Times New Roman" w:hAnsi="Times New Roman"/>
          <w:sz w:val="28"/>
          <w:szCs w:val="28"/>
          <w:lang w:val="en-US"/>
        </w:rPr>
        <w:t xml:space="preserve"> và Nghị định só 140/2020/NĐ-CP ngày 30/11/2020 của Chính phủ</w:t>
      </w:r>
      <w:r w:rsidR="002E4CCA">
        <w:rPr>
          <w:rFonts w:ascii="Times New Roman" w:hAnsi="Times New Roman"/>
          <w:sz w:val="28"/>
          <w:szCs w:val="28"/>
          <w:lang w:val="en-US"/>
        </w:rPr>
        <w:t xml:space="preserve">) </w:t>
      </w:r>
      <w:r w:rsidR="00774380">
        <w:rPr>
          <w:rFonts w:ascii="Times New Roman" w:hAnsi="Times New Roman"/>
          <w:sz w:val="28"/>
          <w:szCs w:val="28"/>
          <w:lang w:val="en-US"/>
        </w:rPr>
        <w:t>đã có quy định cụ thể về việc phân phối lợi nhuận đối với doanh nghiệp là Công ty TNHH MTV do Nhà nước nắm giữ 100% vốn điều lệ</w:t>
      </w:r>
      <w:r w:rsidR="00DD5E73" w:rsidRPr="00477877">
        <w:rPr>
          <w:rFonts w:ascii="Times New Roman" w:hAnsi="Times New Roman"/>
          <w:sz w:val="28"/>
          <w:szCs w:val="28"/>
        </w:rPr>
        <w:t xml:space="preserve">. </w:t>
      </w:r>
    </w:p>
    <w:p w:rsidR="00774380" w:rsidRPr="00E450A5" w:rsidRDefault="001B06DA" w:rsidP="006D5811">
      <w:pPr>
        <w:spacing w:before="120" w:after="120" w:line="240" w:lineRule="auto"/>
        <w:ind w:firstLine="720"/>
        <w:jc w:val="both"/>
        <w:rPr>
          <w:rFonts w:ascii="Times New Roman" w:hAnsi="Times New Roman"/>
          <w:sz w:val="28"/>
          <w:szCs w:val="28"/>
          <w:lang w:val="en-US"/>
        </w:rPr>
      </w:pPr>
      <w:r>
        <w:rPr>
          <w:rFonts w:ascii="Times New Roman" w:hAnsi="Times New Roman"/>
          <w:sz w:val="28"/>
          <w:szCs w:val="28"/>
          <w:lang w:val="en-US"/>
        </w:rPr>
        <w:t xml:space="preserve">Như vậy, </w:t>
      </w:r>
      <w:r w:rsidR="0008660A">
        <w:rPr>
          <w:rFonts w:ascii="Times New Roman" w:hAnsi="Times New Roman"/>
          <w:sz w:val="28"/>
          <w:szCs w:val="28"/>
          <w:lang w:val="en-US"/>
        </w:rPr>
        <w:t>quy định tại Nghị định số 09/2009/</w:t>
      </w:r>
      <w:r w:rsidR="0008660A" w:rsidRPr="001B06DA">
        <w:rPr>
          <w:rFonts w:ascii="Times New Roman" w:hAnsi="Times New Roman"/>
          <w:sz w:val="28"/>
          <w:szCs w:val="28"/>
          <w:lang w:val="en-US"/>
        </w:rPr>
        <w:t>NĐ-CP ngày 05/02/2009 của Chính phủ</w:t>
      </w:r>
      <w:r w:rsidR="0008660A">
        <w:rPr>
          <w:rFonts w:ascii="Times New Roman" w:hAnsi="Times New Roman"/>
          <w:sz w:val="28"/>
          <w:szCs w:val="28"/>
          <w:lang w:val="en-US"/>
        </w:rPr>
        <w:t xml:space="preserve"> đã hết hiệu lực nên nội dung hướng dẫn tại </w:t>
      </w:r>
      <w:r w:rsidR="00E450A5" w:rsidRPr="005D1495">
        <w:rPr>
          <w:rFonts w:ascii="Times New Roman" w:hAnsi="Times New Roman"/>
          <w:sz w:val="28"/>
          <w:szCs w:val="28"/>
          <w:lang w:val="en-US"/>
        </w:rPr>
        <w:t xml:space="preserve">Thông tư số </w:t>
      </w:r>
      <w:r w:rsidR="00E450A5" w:rsidRPr="005D1495">
        <w:rPr>
          <w:rFonts w:ascii="Times New Roman" w:hAnsi="Times New Roman"/>
          <w:sz w:val="28"/>
          <w:szCs w:val="28"/>
          <w:lang w:val="en-US"/>
        </w:rPr>
        <w:lastRenderedPageBreak/>
        <w:t>155/2009/TT-BTC ngày 31/7/2009 của Bộ Tài chính hướng dẫn chế độ phân phối lợi nhuận của công ty nhà nước</w:t>
      </w:r>
      <w:r w:rsidR="00774380" w:rsidRPr="00E450A5">
        <w:rPr>
          <w:rFonts w:ascii="Times New Roman" w:hAnsi="Times New Roman"/>
          <w:sz w:val="28"/>
          <w:szCs w:val="28"/>
          <w:lang w:val="en-US"/>
        </w:rPr>
        <w:t xml:space="preserve"> không còn</w:t>
      </w:r>
      <w:r w:rsidR="00E450A5">
        <w:rPr>
          <w:rFonts w:ascii="Times New Roman" w:hAnsi="Times New Roman"/>
          <w:sz w:val="28"/>
          <w:szCs w:val="28"/>
          <w:lang w:val="en-US"/>
        </w:rPr>
        <w:t xml:space="preserve"> đối tượng </w:t>
      </w:r>
      <w:r w:rsidR="00774380" w:rsidRPr="00E450A5">
        <w:rPr>
          <w:rFonts w:ascii="Times New Roman" w:hAnsi="Times New Roman"/>
          <w:sz w:val="28"/>
          <w:szCs w:val="28"/>
          <w:lang w:val="en-US"/>
        </w:rPr>
        <w:t>áp dụng</w:t>
      </w:r>
      <w:r w:rsidR="00E450A5">
        <w:rPr>
          <w:rFonts w:ascii="Times New Roman" w:hAnsi="Times New Roman"/>
          <w:sz w:val="28"/>
          <w:szCs w:val="28"/>
          <w:lang w:val="en-US"/>
        </w:rPr>
        <w:t xml:space="preserve">  nhưng chưa có văn bản quy phạm pháp luật thay thế hoặc bãi bỏ</w:t>
      </w:r>
      <w:r w:rsidR="00774380" w:rsidRPr="00E450A5">
        <w:rPr>
          <w:rFonts w:ascii="Times New Roman" w:hAnsi="Times New Roman"/>
          <w:sz w:val="28"/>
          <w:szCs w:val="28"/>
          <w:lang w:val="en-US"/>
        </w:rPr>
        <w:t xml:space="preserve"> </w:t>
      </w:r>
      <w:r w:rsidR="00E450A5">
        <w:rPr>
          <w:rFonts w:ascii="Times New Roman" w:hAnsi="Times New Roman"/>
          <w:sz w:val="28"/>
          <w:szCs w:val="28"/>
          <w:lang w:val="en-US"/>
        </w:rPr>
        <w:t>nên vẫn còn</w:t>
      </w:r>
      <w:r w:rsidR="00774380" w:rsidRPr="00E450A5">
        <w:rPr>
          <w:rFonts w:ascii="Times New Roman" w:hAnsi="Times New Roman"/>
          <w:sz w:val="28"/>
          <w:szCs w:val="28"/>
          <w:lang w:val="en-US"/>
        </w:rPr>
        <w:t xml:space="preserve"> hiệu lực</w:t>
      </w:r>
      <w:r w:rsidR="00E450A5">
        <w:rPr>
          <w:rFonts w:ascii="Times New Roman" w:hAnsi="Times New Roman"/>
          <w:sz w:val="28"/>
          <w:szCs w:val="28"/>
          <w:lang w:val="en-US"/>
        </w:rPr>
        <w:t xml:space="preserve"> pháp lý theo quy định của Luật Ban hành văn bản quy phạm pháp luật</w:t>
      </w:r>
      <w:r w:rsidR="00774380" w:rsidRPr="00E450A5">
        <w:rPr>
          <w:rFonts w:ascii="Times New Roman" w:hAnsi="Times New Roman"/>
          <w:sz w:val="28"/>
          <w:szCs w:val="28"/>
          <w:lang w:val="en-US"/>
        </w:rPr>
        <w:t>.</w:t>
      </w:r>
    </w:p>
    <w:p w:rsidR="00DD5E73" w:rsidRPr="001B06DA" w:rsidRDefault="00DD5E73" w:rsidP="006D5811">
      <w:pPr>
        <w:spacing w:before="120" w:after="120" w:line="240" w:lineRule="auto"/>
        <w:ind w:firstLine="720"/>
        <w:jc w:val="both"/>
        <w:rPr>
          <w:rFonts w:ascii="Times New Roman" w:hAnsi="Times New Roman"/>
          <w:sz w:val="28"/>
          <w:szCs w:val="28"/>
          <w:lang w:val="en-US"/>
        </w:rPr>
      </w:pPr>
      <w:r w:rsidRPr="001B06DA">
        <w:rPr>
          <w:rFonts w:ascii="Times New Roman" w:hAnsi="Times New Roman"/>
          <w:sz w:val="28"/>
          <w:szCs w:val="28"/>
          <w:lang w:val="en-US"/>
        </w:rPr>
        <w:t xml:space="preserve"> </w:t>
      </w:r>
      <w:r w:rsidR="001B06DA">
        <w:rPr>
          <w:rFonts w:ascii="Times New Roman" w:hAnsi="Times New Roman"/>
          <w:sz w:val="28"/>
          <w:szCs w:val="28"/>
          <w:lang w:val="en-US"/>
        </w:rPr>
        <w:t>Do đó</w:t>
      </w:r>
      <w:r w:rsidRPr="001B06DA">
        <w:rPr>
          <w:rFonts w:ascii="Times New Roman" w:hAnsi="Times New Roman"/>
          <w:sz w:val="28"/>
          <w:szCs w:val="28"/>
          <w:lang w:val="en-US"/>
        </w:rPr>
        <w:t xml:space="preserve">, </w:t>
      </w:r>
      <w:r w:rsidR="0008660A">
        <w:rPr>
          <w:rFonts w:ascii="Times New Roman" w:hAnsi="Times New Roman"/>
          <w:sz w:val="28"/>
          <w:szCs w:val="28"/>
          <w:lang w:val="en-US"/>
        </w:rPr>
        <w:t xml:space="preserve">căn cứ quy định tại </w:t>
      </w:r>
      <w:r w:rsidR="00B05556">
        <w:rPr>
          <w:rFonts w:ascii="Times New Roman" w:hAnsi="Times New Roman"/>
          <w:sz w:val="28"/>
          <w:szCs w:val="28"/>
          <w:lang w:val="en-US"/>
        </w:rPr>
        <w:t xml:space="preserve">khoản 4 </w:t>
      </w:r>
      <w:r w:rsidR="0008660A">
        <w:rPr>
          <w:rFonts w:ascii="Times New Roman" w:hAnsi="Times New Roman"/>
          <w:sz w:val="28"/>
          <w:szCs w:val="28"/>
          <w:lang w:val="en-US"/>
        </w:rPr>
        <w:t>Đ</w:t>
      </w:r>
      <w:r w:rsidR="00B05556">
        <w:rPr>
          <w:rFonts w:ascii="Times New Roman" w:hAnsi="Times New Roman"/>
          <w:sz w:val="28"/>
          <w:szCs w:val="28"/>
          <w:lang w:val="en-US"/>
        </w:rPr>
        <w:t>i</w:t>
      </w:r>
      <w:r w:rsidR="0008660A">
        <w:rPr>
          <w:rFonts w:ascii="Times New Roman" w:hAnsi="Times New Roman"/>
          <w:sz w:val="28"/>
          <w:szCs w:val="28"/>
          <w:lang w:val="en-US"/>
        </w:rPr>
        <w:t>ều 154 Luật Ban hành văn bản QPPL năm 2015</w:t>
      </w:r>
      <w:r w:rsidR="005C7EA1">
        <w:rPr>
          <w:rFonts w:ascii="Times New Roman" w:hAnsi="Times New Roman"/>
          <w:sz w:val="28"/>
          <w:szCs w:val="28"/>
          <w:lang w:val="en-US"/>
        </w:rPr>
        <w:t xml:space="preserve"> </w:t>
      </w:r>
      <w:r w:rsidR="005C7EA1">
        <w:rPr>
          <w:rFonts w:ascii="Times New Roman" w:hAnsi="Times New Roman"/>
          <w:sz w:val="28"/>
          <w:szCs w:val="24"/>
          <w:lang w:val="en-US"/>
        </w:rPr>
        <w:t>(khoản 2 Điều 8</w:t>
      </w:r>
      <w:r w:rsidR="008F155D">
        <w:rPr>
          <w:rFonts w:ascii="Times New Roman" w:hAnsi="Times New Roman"/>
          <w:sz w:val="28"/>
          <w:szCs w:val="24"/>
          <w:lang w:val="en-US"/>
        </w:rPr>
        <w:t>, khoản 1 Điều 57</w:t>
      </w:r>
      <w:r w:rsidR="005C7EA1">
        <w:rPr>
          <w:rFonts w:ascii="Times New Roman" w:hAnsi="Times New Roman"/>
          <w:sz w:val="28"/>
          <w:szCs w:val="24"/>
          <w:lang w:val="en-US"/>
        </w:rPr>
        <w:t xml:space="preserve"> </w:t>
      </w:r>
      <w:r w:rsidR="005C7EA1" w:rsidRPr="00B05556">
        <w:rPr>
          <w:rFonts w:ascii="Times New Roman" w:hAnsi="Times New Roman"/>
          <w:sz w:val="28"/>
          <w:szCs w:val="24"/>
          <w:lang w:val="en-US"/>
        </w:rPr>
        <w:t xml:space="preserve">Luật Ban hành văn bản QPPL năm </w:t>
      </w:r>
      <w:r w:rsidR="005C7EA1">
        <w:rPr>
          <w:rFonts w:ascii="Times New Roman" w:hAnsi="Times New Roman"/>
          <w:sz w:val="28"/>
          <w:szCs w:val="24"/>
          <w:lang w:val="en-US"/>
        </w:rPr>
        <w:t>202</w:t>
      </w:r>
      <w:r w:rsidR="005C7EA1" w:rsidRPr="00B05556">
        <w:rPr>
          <w:rFonts w:ascii="Times New Roman" w:hAnsi="Times New Roman"/>
          <w:sz w:val="28"/>
          <w:szCs w:val="24"/>
          <w:lang w:val="en-US"/>
        </w:rPr>
        <w:t>5</w:t>
      </w:r>
      <w:r w:rsidR="005C7EA1">
        <w:rPr>
          <w:rFonts w:ascii="Times New Roman" w:hAnsi="Times New Roman"/>
          <w:sz w:val="28"/>
          <w:szCs w:val="24"/>
          <w:lang w:val="en-US"/>
        </w:rPr>
        <w:t>, có hiệu lực thi hành từ 01/4/2025)</w:t>
      </w:r>
      <w:r w:rsidR="0008660A">
        <w:rPr>
          <w:rFonts w:ascii="Times New Roman" w:hAnsi="Times New Roman"/>
          <w:sz w:val="28"/>
          <w:szCs w:val="28"/>
          <w:lang w:val="en-US"/>
        </w:rPr>
        <w:t xml:space="preserve">, </w:t>
      </w:r>
      <w:r w:rsidR="00AA7F60">
        <w:rPr>
          <w:rFonts w:ascii="Times New Roman" w:hAnsi="Times New Roman"/>
          <w:sz w:val="28"/>
          <w:szCs w:val="28"/>
          <w:lang w:val="en-US"/>
        </w:rPr>
        <w:t>Bộ Tài chính</w:t>
      </w:r>
      <w:r w:rsidRPr="001B06DA">
        <w:rPr>
          <w:rFonts w:ascii="Times New Roman" w:hAnsi="Times New Roman"/>
          <w:sz w:val="28"/>
          <w:szCs w:val="28"/>
          <w:lang w:val="en-US"/>
        </w:rPr>
        <w:t xml:space="preserve"> </w:t>
      </w:r>
      <w:r w:rsidR="00AA7F60">
        <w:rPr>
          <w:rFonts w:ascii="Times New Roman" w:hAnsi="Times New Roman"/>
          <w:sz w:val="28"/>
          <w:szCs w:val="28"/>
          <w:lang w:val="en-US"/>
        </w:rPr>
        <w:t xml:space="preserve">đề xuất </w:t>
      </w:r>
      <w:r w:rsidRPr="001B06DA">
        <w:rPr>
          <w:rFonts w:ascii="Times New Roman" w:hAnsi="Times New Roman"/>
          <w:sz w:val="28"/>
          <w:szCs w:val="28"/>
          <w:lang w:val="en-US"/>
        </w:rPr>
        <w:t xml:space="preserve">bãi bỏ </w:t>
      </w:r>
      <w:r w:rsidR="00774380" w:rsidRPr="005D1495">
        <w:rPr>
          <w:rFonts w:ascii="Times New Roman" w:hAnsi="Times New Roman"/>
          <w:sz w:val="28"/>
          <w:szCs w:val="28"/>
          <w:lang w:val="en-US"/>
        </w:rPr>
        <w:t>Thông tư số 155/2009/TT-BTC ngày 31/7/2009 của Bộ Tài chính hướng dẫn chế độ phân phối lợi nhuận của công ty nhà nước</w:t>
      </w:r>
      <w:r w:rsidR="001B06DA">
        <w:rPr>
          <w:rFonts w:ascii="Times New Roman" w:hAnsi="Times New Roman"/>
          <w:sz w:val="28"/>
          <w:szCs w:val="28"/>
          <w:lang w:val="en-US"/>
        </w:rPr>
        <w:t xml:space="preserve"> </w:t>
      </w:r>
      <w:r w:rsidR="001B06DA" w:rsidRPr="001B06DA">
        <w:rPr>
          <w:rFonts w:ascii="Times New Roman" w:hAnsi="Times New Roman"/>
          <w:sz w:val="28"/>
          <w:szCs w:val="28"/>
          <w:lang w:val="en-US"/>
        </w:rPr>
        <w:t>theo quy định tại Nghị định số 09/2009/NĐ-CP ngày 05/02/2009 của Chính phủ</w:t>
      </w:r>
      <w:r w:rsidR="00AA7F60">
        <w:rPr>
          <w:rFonts w:ascii="Times New Roman" w:hAnsi="Times New Roman"/>
          <w:sz w:val="28"/>
          <w:szCs w:val="28"/>
          <w:lang w:val="en-US"/>
        </w:rPr>
        <w:t xml:space="preserve"> theo thẩm quyền</w:t>
      </w:r>
      <w:r w:rsidRPr="001B06DA">
        <w:rPr>
          <w:rFonts w:ascii="Times New Roman" w:hAnsi="Times New Roman"/>
          <w:sz w:val="28"/>
          <w:szCs w:val="28"/>
          <w:lang w:val="en-US"/>
        </w:rPr>
        <w:t>.</w:t>
      </w:r>
    </w:p>
    <w:p w:rsidR="005C24F0" w:rsidRDefault="00043B8B" w:rsidP="006D5811">
      <w:pPr>
        <w:spacing w:before="120" w:after="120" w:line="240" w:lineRule="auto"/>
        <w:ind w:firstLine="720"/>
        <w:jc w:val="both"/>
        <w:rPr>
          <w:rFonts w:ascii="Times New Roman" w:hAnsi="Times New Roman"/>
          <w:sz w:val="28"/>
          <w:szCs w:val="24"/>
          <w:lang w:val="en-US"/>
        </w:rPr>
      </w:pPr>
      <w:r w:rsidRPr="00D72C02">
        <w:rPr>
          <w:rFonts w:ascii="Times New Roman" w:hAnsi="Times New Roman"/>
          <w:b/>
          <w:sz w:val="28"/>
          <w:szCs w:val="24"/>
          <w:lang w:val="en-US"/>
        </w:rPr>
        <w:t xml:space="preserve">- </w:t>
      </w:r>
      <w:r w:rsidR="005C24F0" w:rsidRPr="00D72C02">
        <w:rPr>
          <w:rFonts w:ascii="Times New Roman" w:hAnsi="Times New Roman"/>
          <w:b/>
          <w:sz w:val="28"/>
          <w:szCs w:val="24"/>
          <w:lang w:val="en-US"/>
        </w:rPr>
        <w:t>Nội dung quy định hết hiệu lực:</w:t>
      </w:r>
      <w:r w:rsidR="00DD5E73">
        <w:rPr>
          <w:rFonts w:ascii="Times New Roman" w:hAnsi="Times New Roman"/>
          <w:sz w:val="28"/>
          <w:szCs w:val="24"/>
          <w:lang w:val="en-US"/>
        </w:rPr>
        <w:t xml:space="preserve"> Hết hiệu lực toàn bộ.</w:t>
      </w:r>
    </w:p>
    <w:p w:rsidR="0063069D" w:rsidRPr="00774380" w:rsidRDefault="005C24F0" w:rsidP="006D5811">
      <w:pPr>
        <w:spacing w:before="120" w:after="120" w:line="240" w:lineRule="auto"/>
        <w:ind w:firstLine="720"/>
        <w:jc w:val="both"/>
        <w:rPr>
          <w:rFonts w:ascii="Times New Roman" w:hAnsi="Times New Roman"/>
          <w:sz w:val="28"/>
          <w:szCs w:val="28"/>
          <w:lang w:val="en-US"/>
        </w:rPr>
      </w:pPr>
      <w:r w:rsidRPr="00DD5E73">
        <w:rPr>
          <w:rFonts w:ascii="Times New Roman" w:hAnsi="Times New Roman"/>
          <w:b/>
          <w:sz w:val="28"/>
          <w:szCs w:val="24"/>
          <w:lang w:val="en-US"/>
        </w:rPr>
        <w:t>2.</w:t>
      </w:r>
      <w:r>
        <w:rPr>
          <w:rFonts w:ascii="Times New Roman" w:hAnsi="Times New Roman"/>
          <w:sz w:val="28"/>
          <w:szCs w:val="24"/>
          <w:lang w:val="en-US"/>
        </w:rPr>
        <w:t xml:space="preserve"> </w:t>
      </w:r>
      <w:r w:rsidR="00774380" w:rsidRPr="00774380">
        <w:rPr>
          <w:rFonts w:ascii="Times New Roman" w:hAnsi="Times New Roman"/>
          <w:sz w:val="28"/>
          <w:szCs w:val="28"/>
          <w:lang w:val="en-US"/>
        </w:rPr>
        <w:t>Thông tư số 202/2009/TT-BTC ngày 20/10/2009 của Bộ Tài chính hướng dẫn một số nội dung về tài chính trong giao, bán doanh nghiệp 100% vốn nhà nước</w:t>
      </w:r>
      <w:r w:rsidR="00685D5A" w:rsidRPr="00774380">
        <w:rPr>
          <w:rFonts w:ascii="Times New Roman" w:hAnsi="Times New Roman"/>
          <w:sz w:val="28"/>
          <w:szCs w:val="28"/>
          <w:lang w:val="en-US"/>
        </w:rPr>
        <w:t>.</w:t>
      </w:r>
    </w:p>
    <w:p w:rsidR="00306F11" w:rsidRPr="00D72C02" w:rsidRDefault="00306F11" w:rsidP="006D5811">
      <w:pPr>
        <w:spacing w:before="120" w:after="120" w:line="240" w:lineRule="auto"/>
        <w:ind w:firstLine="720"/>
        <w:jc w:val="both"/>
        <w:rPr>
          <w:rFonts w:ascii="Times New Roman" w:hAnsi="Times New Roman"/>
          <w:b/>
          <w:sz w:val="28"/>
          <w:szCs w:val="28"/>
          <w:lang w:val="en-US"/>
        </w:rPr>
      </w:pPr>
      <w:r>
        <w:rPr>
          <w:rFonts w:ascii="Times New Roman" w:hAnsi="Times New Roman"/>
          <w:sz w:val="28"/>
          <w:szCs w:val="24"/>
          <w:lang w:val="en-US"/>
        </w:rPr>
        <w:t xml:space="preserve">- </w:t>
      </w:r>
      <w:r w:rsidR="00DD5E73" w:rsidRPr="00D72C02">
        <w:rPr>
          <w:rFonts w:ascii="Times New Roman" w:hAnsi="Times New Roman"/>
          <w:b/>
          <w:sz w:val="28"/>
          <w:szCs w:val="24"/>
          <w:lang w:val="en-US"/>
        </w:rPr>
        <w:t xml:space="preserve">Lý </w:t>
      </w:r>
      <w:proofErr w:type="gramStart"/>
      <w:r w:rsidR="00DD5E73" w:rsidRPr="00D72C02">
        <w:rPr>
          <w:rFonts w:ascii="Times New Roman" w:hAnsi="Times New Roman"/>
          <w:b/>
          <w:sz w:val="28"/>
          <w:szCs w:val="24"/>
          <w:lang w:val="en-US"/>
        </w:rPr>
        <w:t>do</w:t>
      </w:r>
      <w:proofErr w:type="gramEnd"/>
      <w:r w:rsidR="00DD5E73" w:rsidRPr="00D72C02">
        <w:rPr>
          <w:rFonts w:ascii="Times New Roman" w:hAnsi="Times New Roman"/>
          <w:b/>
          <w:sz w:val="28"/>
          <w:szCs w:val="24"/>
          <w:lang w:val="en-US"/>
        </w:rPr>
        <w:t xml:space="preserve"> bãi bỏ:</w:t>
      </w:r>
      <w:r w:rsidR="00DD5E73" w:rsidRPr="00D72C02">
        <w:rPr>
          <w:rFonts w:ascii="Times New Roman" w:hAnsi="Times New Roman"/>
          <w:b/>
          <w:sz w:val="28"/>
          <w:szCs w:val="28"/>
        </w:rPr>
        <w:t xml:space="preserve"> </w:t>
      </w:r>
    </w:p>
    <w:p w:rsidR="00EC01AB" w:rsidRDefault="00EC01AB"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xml:space="preserve">Thông tư hướng dẫn </w:t>
      </w:r>
      <w:r w:rsidR="00EB7266">
        <w:rPr>
          <w:rFonts w:ascii="Times New Roman" w:hAnsi="Times New Roman"/>
          <w:sz w:val="28"/>
          <w:szCs w:val="24"/>
          <w:lang w:val="en-US"/>
        </w:rPr>
        <w:t>quy định tại Điều 2, Điều 4 Nghị định số 109/2008/NĐ-CP ngày 10/10/2008 của Chính phủ về bán, giao doanh nghiệp 100% vốn nhà nước (đã được thay thế bởi Nghị định số 128/2014/NĐ-CP ngày 31/12/2014 của Chính phủ về bán, giao và chuyển giao doanh nghiệp 100% vốn nhà nướ</w:t>
      </w:r>
      <w:r w:rsidR="00E04548">
        <w:rPr>
          <w:rFonts w:ascii="Times New Roman" w:hAnsi="Times New Roman"/>
          <w:sz w:val="28"/>
          <w:szCs w:val="24"/>
          <w:lang w:val="en-US"/>
        </w:rPr>
        <w:t xml:space="preserve">c, nay đã được thay thế bởi Nghị định số 23/2022/NĐ-CP </w:t>
      </w:r>
      <w:r w:rsidR="005D6E75">
        <w:rPr>
          <w:rFonts w:ascii="Times New Roman" w:hAnsi="Times New Roman"/>
          <w:sz w:val="28"/>
          <w:szCs w:val="24"/>
          <w:lang w:val="en-US"/>
        </w:rPr>
        <w:t xml:space="preserve">ngày 05/4/2022 của Chính phủ). Qua rà soát, tại các Nghị định này không giao Bộ Tài chính </w:t>
      </w:r>
      <w:r w:rsidR="005D6E75" w:rsidRPr="00774380">
        <w:rPr>
          <w:rFonts w:ascii="Times New Roman" w:hAnsi="Times New Roman"/>
          <w:sz w:val="28"/>
          <w:szCs w:val="28"/>
          <w:lang w:val="en-US"/>
        </w:rPr>
        <w:t xml:space="preserve">hướng dẫn </w:t>
      </w:r>
      <w:r w:rsidR="005D6E75">
        <w:rPr>
          <w:rFonts w:ascii="Times New Roman" w:hAnsi="Times New Roman"/>
          <w:sz w:val="28"/>
          <w:szCs w:val="28"/>
          <w:lang w:val="en-US"/>
        </w:rPr>
        <w:t xml:space="preserve">nội dung về xử lý </w:t>
      </w:r>
      <w:r w:rsidR="005D6E75" w:rsidRPr="00774380">
        <w:rPr>
          <w:rFonts w:ascii="Times New Roman" w:hAnsi="Times New Roman"/>
          <w:sz w:val="28"/>
          <w:szCs w:val="28"/>
          <w:lang w:val="en-US"/>
        </w:rPr>
        <w:t>tài chính trong giao, bán doanh nghiệp 100% vốn nhà nước</w:t>
      </w:r>
      <w:r w:rsidR="00B05556">
        <w:rPr>
          <w:rFonts w:ascii="Times New Roman" w:hAnsi="Times New Roman"/>
          <w:sz w:val="28"/>
          <w:szCs w:val="28"/>
          <w:lang w:val="en-US"/>
        </w:rPr>
        <w:t>.</w:t>
      </w:r>
    </w:p>
    <w:p w:rsidR="00E04548" w:rsidRPr="00B05556" w:rsidRDefault="0008660A" w:rsidP="006D5811">
      <w:pPr>
        <w:spacing w:before="120" w:after="120" w:line="240" w:lineRule="auto"/>
        <w:ind w:firstLine="720"/>
        <w:jc w:val="both"/>
        <w:rPr>
          <w:rFonts w:ascii="Times New Roman" w:hAnsi="Times New Roman"/>
          <w:sz w:val="28"/>
          <w:szCs w:val="24"/>
          <w:lang w:val="en-US"/>
        </w:rPr>
      </w:pPr>
      <w:r w:rsidRPr="00B05556">
        <w:rPr>
          <w:rFonts w:ascii="Times New Roman" w:hAnsi="Times New Roman"/>
          <w:sz w:val="28"/>
          <w:szCs w:val="24"/>
          <w:lang w:val="en-US"/>
        </w:rPr>
        <w:t xml:space="preserve">Như vậy, quy định tại Nghị định </w:t>
      </w:r>
      <w:proofErr w:type="gramStart"/>
      <w:r w:rsidRPr="00B05556">
        <w:rPr>
          <w:rFonts w:ascii="Times New Roman" w:hAnsi="Times New Roman"/>
          <w:sz w:val="28"/>
          <w:szCs w:val="24"/>
          <w:lang w:val="en-US"/>
        </w:rPr>
        <w:t xml:space="preserve">số </w:t>
      </w:r>
      <w:r>
        <w:rPr>
          <w:rFonts w:ascii="Times New Roman" w:hAnsi="Times New Roman"/>
          <w:sz w:val="28"/>
          <w:szCs w:val="24"/>
          <w:lang w:val="en-US"/>
        </w:rPr>
        <w:t xml:space="preserve"> 128</w:t>
      </w:r>
      <w:proofErr w:type="gramEnd"/>
      <w:r>
        <w:rPr>
          <w:rFonts w:ascii="Times New Roman" w:hAnsi="Times New Roman"/>
          <w:sz w:val="28"/>
          <w:szCs w:val="24"/>
          <w:lang w:val="en-US"/>
        </w:rPr>
        <w:t>/2014/NĐ-CP ngày 31/12/2014 của Chính phủ</w:t>
      </w:r>
      <w:r w:rsidRPr="00B05556">
        <w:rPr>
          <w:rFonts w:ascii="Times New Roman" w:hAnsi="Times New Roman"/>
          <w:sz w:val="28"/>
          <w:szCs w:val="24"/>
          <w:lang w:val="en-US"/>
        </w:rPr>
        <w:t xml:space="preserve"> đã hết hiệu lực nên nội dung hướng dẫn tại Thông tư số 202/2009/TT-BTC ngày 20/10/2009 của Bộ Tài chính không còn</w:t>
      </w:r>
      <w:r w:rsidR="00E04548" w:rsidRPr="00B05556">
        <w:rPr>
          <w:rFonts w:ascii="Times New Roman" w:hAnsi="Times New Roman"/>
          <w:sz w:val="28"/>
          <w:szCs w:val="24"/>
          <w:lang w:val="en-US"/>
        </w:rPr>
        <w:t xml:space="preserve"> căn cứ pháp lý</w:t>
      </w:r>
      <w:r w:rsidR="002A1A33">
        <w:rPr>
          <w:rFonts w:ascii="Times New Roman" w:hAnsi="Times New Roman"/>
          <w:sz w:val="28"/>
          <w:szCs w:val="24"/>
          <w:lang w:val="en-US"/>
        </w:rPr>
        <w:t xml:space="preserve"> </w:t>
      </w:r>
      <w:r w:rsidRPr="00B05556">
        <w:rPr>
          <w:rFonts w:ascii="Times New Roman" w:hAnsi="Times New Roman"/>
          <w:sz w:val="28"/>
          <w:szCs w:val="24"/>
          <w:lang w:val="en-US"/>
        </w:rPr>
        <w:t>nhưng chưa có văn bản quy phạm pháp luật thay thế hoặc bãi bỏ nên vẫn còn hiệu lực pháp lý theo quy định của Luật Ban hành văn bản quy phạm pháp luật.</w:t>
      </w:r>
    </w:p>
    <w:p w:rsidR="00B05556" w:rsidRPr="00B05556" w:rsidRDefault="00B05556" w:rsidP="006D5811">
      <w:pPr>
        <w:spacing w:before="120" w:after="120" w:line="240" w:lineRule="auto"/>
        <w:ind w:firstLine="720"/>
        <w:jc w:val="both"/>
        <w:rPr>
          <w:rFonts w:ascii="Times New Roman" w:hAnsi="Times New Roman"/>
          <w:sz w:val="28"/>
          <w:szCs w:val="24"/>
          <w:lang w:val="en-US"/>
        </w:rPr>
      </w:pPr>
      <w:r w:rsidRPr="00B05556">
        <w:rPr>
          <w:rFonts w:ascii="Times New Roman" w:hAnsi="Times New Roman"/>
          <w:sz w:val="28"/>
          <w:szCs w:val="24"/>
          <w:lang w:val="en-US"/>
        </w:rPr>
        <w:t xml:space="preserve"> Do đó, căn cứ quy định tại khoản 4 Điều 154 Luật Ban hành văn bản QPPL năm 2015</w:t>
      </w:r>
      <w:r w:rsidR="005C7EA1">
        <w:rPr>
          <w:rFonts w:ascii="Times New Roman" w:hAnsi="Times New Roman"/>
          <w:sz w:val="28"/>
          <w:szCs w:val="24"/>
          <w:lang w:val="en-US"/>
        </w:rPr>
        <w:t xml:space="preserve"> (khoản 2 Điều 8</w:t>
      </w:r>
      <w:r w:rsidR="008F155D">
        <w:rPr>
          <w:rFonts w:ascii="Times New Roman" w:hAnsi="Times New Roman"/>
          <w:sz w:val="28"/>
          <w:szCs w:val="24"/>
          <w:lang w:val="en-US"/>
        </w:rPr>
        <w:t>, khoản 1 Điều 57</w:t>
      </w:r>
      <w:r w:rsidR="005C7EA1">
        <w:rPr>
          <w:rFonts w:ascii="Times New Roman" w:hAnsi="Times New Roman"/>
          <w:sz w:val="28"/>
          <w:szCs w:val="24"/>
          <w:lang w:val="en-US"/>
        </w:rPr>
        <w:t xml:space="preserve"> </w:t>
      </w:r>
      <w:r w:rsidR="005C7EA1" w:rsidRPr="00B05556">
        <w:rPr>
          <w:rFonts w:ascii="Times New Roman" w:hAnsi="Times New Roman"/>
          <w:sz w:val="28"/>
          <w:szCs w:val="24"/>
          <w:lang w:val="en-US"/>
        </w:rPr>
        <w:t xml:space="preserve">Luật Ban hành văn bản QPPL năm </w:t>
      </w:r>
      <w:r w:rsidR="005C7EA1">
        <w:rPr>
          <w:rFonts w:ascii="Times New Roman" w:hAnsi="Times New Roman"/>
          <w:sz w:val="28"/>
          <w:szCs w:val="24"/>
          <w:lang w:val="en-US"/>
        </w:rPr>
        <w:t>202</w:t>
      </w:r>
      <w:r w:rsidR="005C7EA1" w:rsidRPr="00B05556">
        <w:rPr>
          <w:rFonts w:ascii="Times New Roman" w:hAnsi="Times New Roman"/>
          <w:sz w:val="28"/>
          <w:szCs w:val="24"/>
          <w:lang w:val="en-US"/>
        </w:rPr>
        <w:t>5</w:t>
      </w:r>
      <w:r w:rsidR="005C7EA1">
        <w:rPr>
          <w:rFonts w:ascii="Times New Roman" w:hAnsi="Times New Roman"/>
          <w:sz w:val="28"/>
          <w:szCs w:val="24"/>
          <w:lang w:val="en-US"/>
        </w:rPr>
        <w:t>, có hiệu lực thi hành từ 01/4/2025)</w:t>
      </w:r>
      <w:r w:rsidRPr="00B05556">
        <w:rPr>
          <w:rFonts w:ascii="Times New Roman" w:hAnsi="Times New Roman"/>
          <w:sz w:val="28"/>
          <w:szCs w:val="24"/>
          <w:lang w:val="en-US"/>
        </w:rPr>
        <w:t xml:space="preserve">, Bộ </w:t>
      </w:r>
      <w:r w:rsidR="00C521CF">
        <w:rPr>
          <w:rFonts w:ascii="Times New Roman" w:hAnsi="Times New Roman"/>
          <w:sz w:val="28"/>
          <w:szCs w:val="24"/>
          <w:lang w:val="en-US"/>
        </w:rPr>
        <w:t xml:space="preserve">Tài chính </w:t>
      </w:r>
      <w:r w:rsidRPr="00B05556">
        <w:rPr>
          <w:rFonts w:ascii="Times New Roman" w:hAnsi="Times New Roman"/>
          <w:sz w:val="28"/>
          <w:szCs w:val="24"/>
          <w:lang w:val="en-US"/>
        </w:rPr>
        <w:t xml:space="preserve">đề </w:t>
      </w:r>
      <w:r w:rsidR="00C521CF">
        <w:rPr>
          <w:rFonts w:ascii="Times New Roman" w:hAnsi="Times New Roman"/>
          <w:sz w:val="28"/>
          <w:szCs w:val="24"/>
          <w:lang w:val="en-US"/>
        </w:rPr>
        <w:t>xuất</w:t>
      </w:r>
      <w:r w:rsidRPr="00B05556">
        <w:rPr>
          <w:rFonts w:ascii="Times New Roman" w:hAnsi="Times New Roman"/>
          <w:sz w:val="28"/>
          <w:szCs w:val="24"/>
          <w:lang w:val="en-US"/>
        </w:rPr>
        <w:t xml:space="preserve"> bãi bỏ Thông tư số 202/2009/TT-BTC ngày 20/10/2009 của Bộ</w:t>
      </w:r>
      <w:r w:rsidR="002A1A33">
        <w:rPr>
          <w:rFonts w:ascii="Times New Roman" w:hAnsi="Times New Roman"/>
          <w:sz w:val="28"/>
          <w:szCs w:val="24"/>
          <w:lang w:val="en-US"/>
        </w:rPr>
        <w:t xml:space="preserve"> Tài chính</w:t>
      </w:r>
      <w:r w:rsidR="00C521CF">
        <w:rPr>
          <w:rFonts w:ascii="Times New Roman" w:hAnsi="Times New Roman"/>
          <w:sz w:val="28"/>
          <w:szCs w:val="24"/>
          <w:lang w:val="en-US"/>
        </w:rPr>
        <w:t xml:space="preserve"> theo thẩm quyền</w:t>
      </w:r>
      <w:r w:rsidRPr="00B05556">
        <w:rPr>
          <w:rFonts w:ascii="Times New Roman" w:hAnsi="Times New Roman"/>
          <w:sz w:val="28"/>
          <w:szCs w:val="24"/>
          <w:lang w:val="en-US"/>
        </w:rPr>
        <w:t>.</w:t>
      </w:r>
    </w:p>
    <w:p w:rsidR="00043B8B" w:rsidRDefault="00043B8B"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xml:space="preserve">- </w:t>
      </w:r>
      <w:r w:rsidRPr="00D72C02">
        <w:rPr>
          <w:rFonts w:ascii="Times New Roman" w:hAnsi="Times New Roman"/>
          <w:b/>
          <w:sz w:val="28"/>
          <w:szCs w:val="24"/>
          <w:lang w:val="en-US"/>
        </w:rPr>
        <w:t>Nội dung quy định hết hiệu lực</w:t>
      </w:r>
      <w:r>
        <w:rPr>
          <w:rFonts w:ascii="Times New Roman" w:hAnsi="Times New Roman"/>
          <w:sz w:val="28"/>
          <w:szCs w:val="24"/>
          <w:lang w:val="en-US"/>
        </w:rPr>
        <w:t>: Hết hiệu lực toàn bộ.</w:t>
      </w:r>
    </w:p>
    <w:p w:rsidR="00F55749" w:rsidRPr="00B05556" w:rsidRDefault="005C24F0" w:rsidP="006D5811">
      <w:pPr>
        <w:spacing w:before="120" w:after="120" w:line="240" w:lineRule="auto"/>
        <w:ind w:firstLine="720"/>
        <w:jc w:val="both"/>
        <w:rPr>
          <w:rFonts w:ascii="Times New Roman" w:hAnsi="Times New Roman"/>
          <w:sz w:val="28"/>
          <w:szCs w:val="28"/>
          <w:lang w:val="en-US"/>
        </w:rPr>
      </w:pPr>
      <w:r w:rsidRPr="00C521CF">
        <w:rPr>
          <w:rFonts w:ascii="Times New Roman" w:hAnsi="Times New Roman"/>
          <w:b/>
          <w:sz w:val="28"/>
          <w:szCs w:val="24"/>
          <w:lang w:val="en-US"/>
        </w:rPr>
        <w:t>3.</w:t>
      </w:r>
      <w:r>
        <w:rPr>
          <w:rFonts w:ascii="Times New Roman" w:hAnsi="Times New Roman"/>
          <w:sz w:val="28"/>
          <w:szCs w:val="24"/>
          <w:lang w:val="en-US"/>
        </w:rPr>
        <w:t xml:space="preserve"> </w:t>
      </w:r>
      <w:r w:rsidR="00B05556" w:rsidRPr="00B05556">
        <w:rPr>
          <w:rFonts w:ascii="Times New Roman" w:hAnsi="Times New Roman"/>
          <w:sz w:val="28"/>
          <w:szCs w:val="28"/>
          <w:lang w:val="en-US"/>
        </w:rPr>
        <w:t xml:space="preserve">Thông tư </w:t>
      </w:r>
      <w:proofErr w:type="gramStart"/>
      <w:r w:rsidR="00B05556" w:rsidRPr="00B05556">
        <w:rPr>
          <w:rFonts w:ascii="Times New Roman" w:hAnsi="Times New Roman"/>
          <w:sz w:val="28"/>
          <w:szCs w:val="28"/>
          <w:lang w:val="en-US"/>
        </w:rPr>
        <w:t>số  92</w:t>
      </w:r>
      <w:proofErr w:type="gramEnd"/>
      <w:r w:rsidR="00B05556" w:rsidRPr="00B05556">
        <w:rPr>
          <w:rFonts w:ascii="Times New Roman" w:hAnsi="Times New Roman"/>
          <w:sz w:val="28"/>
          <w:szCs w:val="28"/>
          <w:lang w:val="en-US"/>
        </w:rPr>
        <w:t>/2011/TT-BTC ngày 23/6/2011 của Bộ Tài chính hướng dẫn thực hiện trợ cấp khó khăn đối với người lao động trong doanh nghiệp theo Quyết định số 471/QĐ-TTg ngày 30/3/2011 của Thủ tướng Chính phủ. </w:t>
      </w:r>
    </w:p>
    <w:p w:rsidR="00B05556" w:rsidRDefault="00043B8B"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xml:space="preserve">- </w:t>
      </w:r>
      <w:r w:rsidR="00F55749" w:rsidRPr="00D72C02">
        <w:rPr>
          <w:rFonts w:ascii="Times New Roman" w:hAnsi="Times New Roman"/>
          <w:b/>
          <w:sz w:val="28"/>
          <w:szCs w:val="24"/>
          <w:lang w:val="en-US"/>
        </w:rPr>
        <w:t xml:space="preserve">Lý </w:t>
      </w:r>
      <w:proofErr w:type="gramStart"/>
      <w:r w:rsidR="00F55749" w:rsidRPr="00D72C02">
        <w:rPr>
          <w:rFonts w:ascii="Times New Roman" w:hAnsi="Times New Roman"/>
          <w:b/>
          <w:sz w:val="28"/>
          <w:szCs w:val="24"/>
          <w:lang w:val="en-US"/>
        </w:rPr>
        <w:t>do</w:t>
      </w:r>
      <w:proofErr w:type="gramEnd"/>
      <w:r w:rsidR="00F55749" w:rsidRPr="00D72C02">
        <w:rPr>
          <w:rFonts w:ascii="Times New Roman" w:hAnsi="Times New Roman"/>
          <w:b/>
          <w:sz w:val="28"/>
          <w:szCs w:val="24"/>
          <w:lang w:val="en-US"/>
        </w:rPr>
        <w:t xml:space="preserve"> bãi bỏ</w:t>
      </w:r>
      <w:r w:rsidR="00F55749">
        <w:rPr>
          <w:rFonts w:ascii="Times New Roman" w:hAnsi="Times New Roman"/>
          <w:sz w:val="28"/>
          <w:szCs w:val="24"/>
          <w:lang w:val="en-US"/>
        </w:rPr>
        <w:t xml:space="preserve">: </w:t>
      </w:r>
    </w:p>
    <w:p w:rsidR="00B05556" w:rsidRPr="00465879" w:rsidRDefault="00B05556" w:rsidP="006D5811">
      <w:pPr>
        <w:spacing w:before="120" w:after="120" w:line="240" w:lineRule="auto"/>
        <w:ind w:firstLine="720"/>
        <w:jc w:val="both"/>
        <w:rPr>
          <w:rFonts w:ascii="Times New Roman" w:hAnsi="Times New Roman"/>
          <w:sz w:val="28"/>
          <w:szCs w:val="28"/>
          <w:lang w:val="en-US"/>
        </w:rPr>
      </w:pPr>
      <w:r>
        <w:rPr>
          <w:rFonts w:ascii="Times New Roman" w:hAnsi="Times New Roman"/>
          <w:sz w:val="28"/>
          <w:szCs w:val="24"/>
          <w:lang w:val="en-US"/>
        </w:rPr>
        <w:lastRenderedPageBreak/>
        <w:t xml:space="preserve">+ </w:t>
      </w:r>
      <w:r w:rsidRPr="00B05556">
        <w:rPr>
          <w:rFonts w:ascii="Times New Roman" w:hAnsi="Times New Roman"/>
          <w:sz w:val="28"/>
          <w:szCs w:val="28"/>
          <w:lang w:val="en-US"/>
        </w:rPr>
        <w:t>Quyết định số 471/QĐ-TTg ngày 30/3/2011 của Thủ tướng Chính phủ</w:t>
      </w:r>
      <w:r>
        <w:rPr>
          <w:rFonts w:ascii="Times New Roman" w:hAnsi="Times New Roman"/>
          <w:sz w:val="28"/>
          <w:szCs w:val="28"/>
          <w:lang w:val="en-US"/>
        </w:rPr>
        <w:t xml:space="preserve"> </w:t>
      </w:r>
      <w:r w:rsidR="00465879">
        <w:rPr>
          <w:rFonts w:ascii="Times New Roman" w:hAnsi="Times New Roman"/>
          <w:sz w:val="28"/>
          <w:szCs w:val="28"/>
          <w:lang w:val="en-US"/>
        </w:rPr>
        <w:t>v</w:t>
      </w:r>
      <w:r w:rsidR="00465879" w:rsidRPr="00465879">
        <w:rPr>
          <w:rFonts w:ascii="Times New Roman" w:hAnsi="Times New Roman"/>
          <w:sz w:val="28"/>
          <w:szCs w:val="28"/>
          <w:lang w:val="en-US"/>
        </w:rPr>
        <w:t>ề trợ cấp khó khăn đối với cán bộ, công chức, viên chức, lực lượng vũ trang, người hưởng lương hưu có mức lương thấp, người hưởng trợ cấp ưu đãi người có công và hộ nghèo đời sống khó khăn</w:t>
      </w:r>
      <w:r w:rsidR="00465879">
        <w:rPr>
          <w:rFonts w:ascii="Times New Roman" w:hAnsi="Times New Roman"/>
          <w:sz w:val="28"/>
          <w:szCs w:val="28"/>
          <w:lang w:val="en-US"/>
        </w:rPr>
        <w:t xml:space="preserve"> được ban hành để </w:t>
      </w:r>
      <w:r w:rsidR="00465879" w:rsidRPr="00465879">
        <w:rPr>
          <w:rFonts w:ascii="Times New Roman" w:hAnsi="Times New Roman"/>
          <w:sz w:val="28"/>
          <w:szCs w:val="28"/>
          <w:lang w:val="en-US"/>
        </w:rPr>
        <w:t>trợ cấp khó khăn đột xuất cho các đối tượng thu nhập thấp, đời sống khó khăn</w:t>
      </w:r>
      <w:r w:rsidR="00465879">
        <w:rPr>
          <w:rFonts w:ascii="Times New Roman" w:hAnsi="Times New Roman"/>
          <w:sz w:val="28"/>
          <w:szCs w:val="28"/>
          <w:lang w:val="en-US"/>
        </w:rPr>
        <w:t>. Trong đó, tại Điều 5 quy định c</w:t>
      </w:r>
      <w:r w:rsidR="00465879" w:rsidRPr="00465879">
        <w:rPr>
          <w:rFonts w:ascii="Times New Roman" w:hAnsi="Times New Roman"/>
          <w:sz w:val="28"/>
          <w:szCs w:val="28"/>
          <w:lang w:val="en-US"/>
        </w:rPr>
        <w:t xml:space="preserve">ác doanh nghiệp nhà nước thực hiện trợ cấp khó khăn cho các </w:t>
      </w:r>
      <w:proofErr w:type="gramStart"/>
      <w:r w:rsidR="00465879" w:rsidRPr="00465879">
        <w:rPr>
          <w:rFonts w:ascii="Times New Roman" w:hAnsi="Times New Roman"/>
          <w:sz w:val="28"/>
          <w:szCs w:val="28"/>
          <w:lang w:val="en-US"/>
        </w:rPr>
        <w:t>lao</w:t>
      </w:r>
      <w:proofErr w:type="gramEnd"/>
      <w:r w:rsidR="00465879" w:rsidRPr="00465879">
        <w:rPr>
          <w:rFonts w:ascii="Times New Roman" w:hAnsi="Times New Roman"/>
          <w:sz w:val="28"/>
          <w:szCs w:val="28"/>
          <w:lang w:val="en-US"/>
        </w:rPr>
        <w:t xml:space="preserve"> động từ các Quỹ tài chính hợp pháp của doanh nghiệp. Các doanh nghiệp hỗ trợ cho người </w:t>
      </w:r>
      <w:proofErr w:type="gramStart"/>
      <w:r w:rsidR="00465879" w:rsidRPr="00465879">
        <w:rPr>
          <w:rFonts w:ascii="Times New Roman" w:hAnsi="Times New Roman"/>
          <w:sz w:val="28"/>
          <w:szCs w:val="28"/>
          <w:lang w:val="en-US"/>
        </w:rPr>
        <w:t>lao</w:t>
      </w:r>
      <w:proofErr w:type="gramEnd"/>
      <w:r w:rsidR="00465879" w:rsidRPr="00465879">
        <w:rPr>
          <w:rFonts w:ascii="Times New Roman" w:hAnsi="Times New Roman"/>
          <w:sz w:val="28"/>
          <w:szCs w:val="28"/>
          <w:lang w:val="en-US"/>
        </w:rPr>
        <w:t xml:space="preserve"> động mà nguồn từ các quỹ hợp pháp không đủ chi thì được hạch toán vào chi phí sản xuất kinh doanh của doanh nghiệp. </w:t>
      </w:r>
      <w:proofErr w:type="gramStart"/>
      <w:r w:rsidR="00465879" w:rsidRPr="00465879">
        <w:rPr>
          <w:rFonts w:ascii="Times New Roman" w:hAnsi="Times New Roman"/>
          <w:sz w:val="28"/>
          <w:szCs w:val="28"/>
          <w:lang w:val="en-US"/>
        </w:rPr>
        <w:t>Giao Bộ Tài chính hướng dẫn cụ thể.</w:t>
      </w:r>
      <w:proofErr w:type="gramEnd"/>
    </w:p>
    <w:p w:rsidR="008E15E7" w:rsidRPr="008E15E7" w:rsidRDefault="00465879"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w:t>
      </w:r>
      <w:r w:rsidR="0089685B">
        <w:rPr>
          <w:rFonts w:ascii="Times New Roman" w:hAnsi="Times New Roman"/>
          <w:sz w:val="28"/>
          <w:szCs w:val="24"/>
          <w:lang w:val="en-US"/>
        </w:rPr>
        <w:t xml:space="preserve"> </w:t>
      </w:r>
      <w:r w:rsidR="008E15E7">
        <w:rPr>
          <w:rFonts w:ascii="Times New Roman" w:hAnsi="Times New Roman"/>
          <w:sz w:val="28"/>
          <w:szCs w:val="24"/>
          <w:lang w:val="en-US"/>
        </w:rPr>
        <w:t xml:space="preserve">Tại khoản 1 Điều 1 </w:t>
      </w:r>
      <w:r w:rsidR="0089685B">
        <w:rPr>
          <w:rFonts w:ascii="Times New Roman" w:hAnsi="Times New Roman"/>
          <w:sz w:val="28"/>
          <w:szCs w:val="28"/>
          <w:lang w:val="en-US"/>
        </w:rPr>
        <w:t>Thông tư</w:t>
      </w:r>
      <w:r w:rsidRPr="00B05556">
        <w:rPr>
          <w:rFonts w:ascii="Times New Roman" w:hAnsi="Times New Roman"/>
          <w:sz w:val="28"/>
          <w:szCs w:val="28"/>
          <w:lang w:val="en-US"/>
        </w:rPr>
        <w:t xml:space="preserve"> số 92/2011/TT-BTC ngày 23/6/2011 của Bộ Tài chính </w:t>
      </w:r>
      <w:r>
        <w:rPr>
          <w:rFonts w:ascii="Times New Roman" w:hAnsi="Times New Roman"/>
          <w:sz w:val="28"/>
          <w:szCs w:val="24"/>
          <w:lang w:val="en-US"/>
        </w:rPr>
        <w:t xml:space="preserve"> </w:t>
      </w:r>
      <w:r w:rsidR="008E15E7">
        <w:rPr>
          <w:rFonts w:ascii="Times New Roman" w:hAnsi="Times New Roman"/>
          <w:sz w:val="28"/>
          <w:szCs w:val="24"/>
          <w:lang w:val="en-US"/>
        </w:rPr>
        <w:t>quy định đ</w:t>
      </w:r>
      <w:r w:rsidRPr="008E15E7">
        <w:rPr>
          <w:rFonts w:ascii="Times New Roman" w:hAnsi="Times New Roman"/>
          <w:sz w:val="28"/>
          <w:szCs w:val="24"/>
          <w:lang w:val="en-US"/>
        </w:rPr>
        <w:t xml:space="preserve">ối tượng áp dụng trợ cấp khó khăn theo hướng dẫn tại thông tư này là người lao động có tên trong danh sách lao động của doanh nghiệp </w:t>
      </w:r>
      <w:r w:rsidRPr="008E15E7">
        <w:rPr>
          <w:rFonts w:ascii="Times New Roman" w:hAnsi="Times New Roman"/>
          <w:sz w:val="28"/>
          <w:szCs w:val="24"/>
          <w:u w:val="single"/>
          <w:lang w:val="en-US"/>
        </w:rPr>
        <w:t>tại thời điểm 30/3/2011</w:t>
      </w:r>
      <w:r w:rsidRPr="008E15E7">
        <w:rPr>
          <w:rFonts w:ascii="Times New Roman" w:hAnsi="Times New Roman"/>
          <w:sz w:val="28"/>
          <w:szCs w:val="24"/>
          <w:lang w:val="en-US"/>
        </w:rPr>
        <w:t xml:space="preserve"> và có thu nhập từ 2,2 triệu đồng/tháng trở xuống (trừ các khoản tiền thưởng từ lợi nhuận sau thuế của doanh nghiệp, tiền ăn ca, tiền chế độ bồi dưỡng nghề độc hại, nguy hiểm hoặc đặc biệt độc hại nguy hiểm)</w:t>
      </w:r>
      <w:r w:rsidR="008E15E7">
        <w:rPr>
          <w:rFonts w:ascii="Times New Roman" w:hAnsi="Times New Roman"/>
          <w:sz w:val="28"/>
          <w:szCs w:val="24"/>
          <w:lang w:val="en-US"/>
        </w:rPr>
        <w:t>, nội dung Thông tư hướng dẫn các doanh nghiệp</w:t>
      </w:r>
      <w:r w:rsidR="008E15E7">
        <w:rPr>
          <w:rFonts w:cs="Arial"/>
          <w:color w:val="000000"/>
          <w:sz w:val="20"/>
          <w:szCs w:val="20"/>
          <w:shd w:val="clear" w:color="auto" w:fill="FFFFFF"/>
        </w:rPr>
        <w:t> </w:t>
      </w:r>
      <w:r w:rsidR="008E15E7">
        <w:rPr>
          <w:rFonts w:ascii="Times New Roman" w:hAnsi="Times New Roman"/>
          <w:sz w:val="28"/>
          <w:szCs w:val="24"/>
          <w:lang w:val="en-US"/>
        </w:rPr>
        <w:t xml:space="preserve"> sử dụng c</w:t>
      </w:r>
      <w:r w:rsidR="008E15E7" w:rsidRPr="008E15E7">
        <w:rPr>
          <w:rFonts w:ascii="Times New Roman" w:hAnsi="Times New Roman"/>
          <w:sz w:val="28"/>
          <w:szCs w:val="24"/>
          <w:lang w:val="en-US"/>
        </w:rPr>
        <w:t>ác nguồn Quỹ tài chính hợp pháp của doanh nghiệ</w:t>
      </w:r>
      <w:r w:rsidR="008E15E7">
        <w:rPr>
          <w:rFonts w:ascii="Times New Roman" w:hAnsi="Times New Roman"/>
          <w:sz w:val="28"/>
          <w:szCs w:val="24"/>
          <w:lang w:val="en-US"/>
        </w:rPr>
        <w:t xml:space="preserve">p để </w:t>
      </w:r>
      <w:r w:rsidR="008E15E7" w:rsidRPr="008E15E7">
        <w:rPr>
          <w:rFonts w:ascii="Times New Roman" w:hAnsi="Times New Roman"/>
          <w:sz w:val="28"/>
          <w:szCs w:val="24"/>
          <w:lang w:val="en-US"/>
        </w:rPr>
        <w:t xml:space="preserve">thực hiện chi trợ cấp khó khăn cho người lao động </w:t>
      </w:r>
      <w:r w:rsidR="008E15E7" w:rsidRPr="00A36A0A">
        <w:rPr>
          <w:rFonts w:ascii="Times New Roman" w:hAnsi="Times New Roman"/>
          <w:sz w:val="28"/>
          <w:szCs w:val="24"/>
          <w:u w:val="single"/>
          <w:lang w:val="en-US"/>
        </w:rPr>
        <w:t>một lần trong năm 2011</w:t>
      </w:r>
      <w:r w:rsidR="008E15E7">
        <w:rPr>
          <w:rFonts w:ascii="Times New Roman" w:hAnsi="Times New Roman"/>
          <w:sz w:val="28"/>
          <w:szCs w:val="24"/>
          <w:lang w:val="en-US"/>
        </w:rPr>
        <w:t>, xác định số tiền còn thiếu làm cơ sở để h</w:t>
      </w:r>
      <w:r w:rsidR="008E15E7" w:rsidRPr="008E15E7">
        <w:rPr>
          <w:rFonts w:ascii="Times New Roman" w:hAnsi="Times New Roman"/>
          <w:sz w:val="28"/>
          <w:szCs w:val="24"/>
          <w:lang w:val="en-US"/>
        </w:rPr>
        <w:t>ạch toán chi phí, lập báo cáo tài chính và thực hiện quyết toán thuế thu nhập doanh nghiệp năm 2011 của doanh nghiệp theo quy định</w:t>
      </w:r>
      <w:r w:rsidR="002A1A33">
        <w:rPr>
          <w:rFonts w:ascii="Times New Roman" w:hAnsi="Times New Roman"/>
          <w:sz w:val="28"/>
          <w:szCs w:val="24"/>
          <w:lang w:val="en-US"/>
        </w:rPr>
        <w:t>.</w:t>
      </w:r>
      <w:r w:rsidR="00A36A0A">
        <w:rPr>
          <w:rFonts w:ascii="Times New Roman" w:hAnsi="Times New Roman"/>
          <w:sz w:val="28"/>
          <w:szCs w:val="24"/>
          <w:lang w:val="en-US"/>
        </w:rPr>
        <w:t xml:space="preserve"> Nội dung quy định trợ cấp này </w:t>
      </w:r>
      <w:r w:rsidR="00A36A0A" w:rsidRPr="00A36A0A">
        <w:rPr>
          <w:rFonts w:ascii="Times New Roman" w:hAnsi="Times New Roman"/>
          <w:sz w:val="28"/>
          <w:szCs w:val="24"/>
          <w:lang w:val="en-US"/>
        </w:rPr>
        <w:t>không phát sinh ở các năm sau</w:t>
      </w:r>
      <w:r w:rsidR="00A36A0A">
        <w:rPr>
          <w:rFonts w:ascii="Times New Roman" w:hAnsi="Times New Roman"/>
          <w:sz w:val="28"/>
          <w:szCs w:val="24"/>
          <w:lang w:val="en-US"/>
        </w:rPr>
        <w:t>.</w:t>
      </w:r>
    </w:p>
    <w:p w:rsidR="002A1A33" w:rsidRPr="00E450A5" w:rsidRDefault="002A1A33" w:rsidP="006D5811">
      <w:pPr>
        <w:spacing w:before="120" w:after="120" w:line="240" w:lineRule="auto"/>
        <w:ind w:firstLine="720"/>
        <w:jc w:val="both"/>
        <w:rPr>
          <w:rFonts w:ascii="Times New Roman" w:hAnsi="Times New Roman"/>
          <w:sz w:val="28"/>
          <w:szCs w:val="28"/>
          <w:lang w:val="en-US"/>
        </w:rPr>
      </w:pPr>
      <w:r>
        <w:rPr>
          <w:rFonts w:ascii="Times New Roman" w:hAnsi="Times New Roman"/>
          <w:sz w:val="28"/>
          <w:szCs w:val="28"/>
          <w:lang w:val="en-US"/>
        </w:rPr>
        <w:t xml:space="preserve">Do vậy, </w:t>
      </w:r>
      <w:r w:rsidRPr="00B05556">
        <w:rPr>
          <w:rFonts w:ascii="Times New Roman" w:hAnsi="Times New Roman"/>
          <w:sz w:val="28"/>
          <w:szCs w:val="28"/>
          <w:lang w:val="en-US"/>
        </w:rPr>
        <w:t xml:space="preserve">Thông tư số 92/2011/TT-BTC ngày 23/6/2011 của Bộ Tài chính </w:t>
      </w:r>
      <w:r w:rsidRPr="00E450A5">
        <w:rPr>
          <w:rFonts w:ascii="Times New Roman" w:hAnsi="Times New Roman"/>
          <w:sz w:val="28"/>
          <w:szCs w:val="28"/>
          <w:lang w:val="en-US"/>
        </w:rPr>
        <w:t>không còn</w:t>
      </w:r>
      <w:r>
        <w:rPr>
          <w:rFonts w:ascii="Times New Roman" w:hAnsi="Times New Roman"/>
          <w:sz w:val="28"/>
          <w:szCs w:val="28"/>
          <w:lang w:val="en-US"/>
        </w:rPr>
        <w:t xml:space="preserve"> đối tượng </w:t>
      </w:r>
      <w:r w:rsidRPr="00E450A5">
        <w:rPr>
          <w:rFonts w:ascii="Times New Roman" w:hAnsi="Times New Roman"/>
          <w:sz w:val="28"/>
          <w:szCs w:val="28"/>
          <w:lang w:val="en-US"/>
        </w:rPr>
        <w:t>áp dụng</w:t>
      </w:r>
      <w:r>
        <w:rPr>
          <w:rFonts w:ascii="Times New Roman" w:hAnsi="Times New Roman"/>
          <w:sz w:val="28"/>
          <w:szCs w:val="28"/>
          <w:lang w:val="en-US"/>
        </w:rPr>
        <w:t xml:space="preserve">  trên thực tế nhưng chưa có văn bản quy phạm pháp luật thay thế hoặc bãi bỏ</w:t>
      </w:r>
      <w:r w:rsidRPr="00E450A5">
        <w:rPr>
          <w:rFonts w:ascii="Times New Roman" w:hAnsi="Times New Roman"/>
          <w:sz w:val="28"/>
          <w:szCs w:val="28"/>
          <w:lang w:val="en-US"/>
        </w:rPr>
        <w:t xml:space="preserve"> </w:t>
      </w:r>
      <w:r>
        <w:rPr>
          <w:rFonts w:ascii="Times New Roman" w:hAnsi="Times New Roman"/>
          <w:sz w:val="28"/>
          <w:szCs w:val="28"/>
          <w:lang w:val="en-US"/>
        </w:rPr>
        <w:t>nên vẫn còn</w:t>
      </w:r>
      <w:r w:rsidRPr="00E450A5">
        <w:rPr>
          <w:rFonts w:ascii="Times New Roman" w:hAnsi="Times New Roman"/>
          <w:sz w:val="28"/>
          <w:szCs w:val="28"/>
          <w:lang w:val="en-US"/>
        </w:rPr>
        <w:t xml:space="preserve"> hiệu lực</w:t>
      </w:r>
      <w:r>
        <w:rPr>
          <w:rFonts w:ascii="Times New Roman" w:hAnsi="Times New Roman"/>
          <w:sz w:val="28"/>
          <w:szCs w:val="28"/>
          <w:lang w:val="en-US"/>
        </w:rPr>
        <w:t xml:space="preserve"> pháp lý theo quy định của Luật Ban hành văn bản quy phạm pháp luật</w:t>
      </w:r>
      <w:r w:rsidRPr="00E450A5">
        <w:rPr>
          <w:rFonts w:ascii="Times New Roman" w:hAnsi="Times New Roman"/>
          <w:sz w:val="28"/>
          <w:szCs w:val="28"/>
          <w:lang w:val="en-US"/>
        </w:rPr>
        <w:t>.</w:t>
      </w:r>
    </w:p>
    <w:p w:rsidR="002A1A33" w:rsidRPr="001B06DA" w:rsidRDefault="002A1A33" w:rsidP="006D5811">
      <w:pPr>
        <w:spacing w:before="120" w:after="120" w:line="240" w:lineRule="auto"/>
        <w:ind w:firstLine="720"/>
        <w:jc w:val="both"/>
        <w:rPr>
          <w:rFonts w:ascii="Times New Roman" w:hAnsi="Times New Roman"/>
          <w:sz w:val="28"/>
          <w:szCs w:val="28"/>
          <w:lang w:val="en-US"/>
        </w:rPr>
      </w:pPr>
      <w:r w:rsidRPr="001B06DA">
        <w:rPr>
          <w:rFonts w:ascii="Times New Roman" w:hAnsi="Times New Roman"/>
          <w:sz w:val="28"/>
          <w:szCs w:val="28"/>
          <w:lang w:val="en-US"/>
        </w:rPr>
        <w:t xml:space="preserve"> </w:t>
      </w:r>
      <w:r>
        <w:rPr>
          <w:rFonts w:ascii="Times New Roman" w:hAnsi="Times New Roman"/>
          <w:sz w:val="28"/>
          <w:szCs w:val="28"/>
          <w:lang w:val="en-US"/>
        </w:rPr>
        <w:t>Do đó</w:t>
      </w:r>
      <w:r w:rsidRPr="001B06DA">
        <w:rPr>
          <w:rFonts w:ascii="Times New Roman" w:hAnsi="Times New Roman"/>
          <w:sz w:val="28"/>
          <w:szCs w:val="28"/>
          <w:lang w:val="en-US"/>
        </w:rPr>
        <w:t xml:space="preserve">, </w:t>
      </w:r>
      <w:r>
        <w:rPr>
          <w:rFonts w:ascii="Times New Roman" w:hAnsi="Times New Roman"/>
          <w:sz w:val="28"/>
          <w:szCs w:val="28"/>
          <w:lang w:val="en-US"/>
        </w:rPr>
        <w:t>căn cứ quy định tại khoản 4 Điều 154 Luật Ban hành văn bản QPPL năm 2015</w:t>
      </w:r>
      <w:r w:rsidR="005C7EA1">
        <w:rPr>
          <w:rFonts w:ascii="Times New Roman" w:hAnsi="Times New Roman"/>
          <w:sz w:val="28"/>
          <w:szCs w:val="28"/>
          <w:lang w:val="en-US"/>
        </w:rPr>
        <w:t xml:space="preserve"> </w:t>
      </w:r>
      <w:r w:rsidR="005C7EA1">
        <w:rPr>
          <w:rFonts w:ascii="Times New Roman" w:hAnsi="Times New Roman"/>
          <w:sz w:val="28"/>
          <w:szCs w:val="24"/>
          <w:lang w:val="en-US"/>
        </w:rPr>
        <w:t>(khoản 2 Điều 8</w:t>
      </w:r>
      <w:r w:rsidR="008F155D">
        <w:rPr>
          <w:rFonts w:ascii="Times New Roman" w:hAnsi="Times New Roman"/>
          <w:sz w:val="28"/>
          <w:szCs w:val="24"/>
          <w:lang w:val="en-US"/>
        </w:rPr>
        <w:t>, khoản 1 Điều 57</w:t>
      </w:r>
      <w:r w:rsidR="005C7EA1">
        <w:rPr>
          <w:rFonts w:ascii="Times New Roman" w:hAnsi="Times New Roman"/>
          <w:sz w:val="28"/>
          <w:szCs w:val="24"/>
          <w:lang w:val="en-US"/>
        </w:rPr>
        <w:t xml:space="preserve"> </w:t>
      </w:r>
      <w:r w:rsidR="005C7EA1" w:rsidRPr="00B05556">
        <w:rPr>
          <w:rFonts w:ascii="Times New Roman" w:hAnsi="Times New Roman"/>
          <w:sz w:val="28"/>
          <w:szCs w:val="24"/>
          <w:lang w:val="en-US"/>
        </w:rPr>
        <w:t xml:space="preserve">Luật Ban hành văn bản QPPL năm </w:t>
      </w:r>
      <w:r w:rsidR="005C7EA1">
        <w:rPr>
          <w:rFonts w:ascii="Times New Roman" w:hAnsi="Times New Roman"/>
          <w:sz w:val="28"/>
          <w:szCs w:val="24"/>
          <w:lang w:val="en-US"/>
        </w:rPr>
        <w:t>202</w:t>
      </w:r>
      <w:r w:rsidR="005C7EA1" w:rsidRPr="00B05556">
        <w:rPr>
          <w:rFonts w:ascii="Times New Roman" w:hAnsi="Times New Roman"/>
          <w:sz w:val="28"/>
          <w:szCs w:val="24"/>
          <w:lang w:val="en-US"/>
        </w:rPr>
        <w:t>5</w:t>
      </w:r>
      <w:r w:rsidR="005C7EA1">
        <w:rPr>
          <w:rFonts w:ascii="Times New Roman" w:hAnsi="Times New Roman"/>
          <w:sz w:val="28"/>
          <w:szCs w:val="24"/>
          <w:lang w:val="en-US"/>
        </w:rPr>
        <w:t>, có hiệu lực thi hành từ</w:t>
      </w:r>
      <w:r w:rsidR="008F155D">
        <w:rPr>
          <w:rFonts w:ascii="Times New Roman" w:hAnsi="Times New Roman"/>
          <w:sz w:val="28"/>
          <w:szCs w:val="24"/>
          <w:lang w:val="en-US"/>
        </w:rPr>
        <w:t xml:space="preserve"> </w:t>
      </w:r>
      <w:r w:rsidR="005C7EA1">
        <w:rPr>
          <w:rFonts w:ascii="Times New Roman" w:hAnsi="Times New Roman"/>
          <w:sz w:val="28"/>
          <w:szCs w:val="24"/>
          <w:lang w:val="en-US"/>
        </w:rPr>
        <w:t>01/4/2025)</w:t>
      </w:r>
      <w:r>
        <w:rPr>
          <w:rFonts w:ascii="Times New Roman" w:hAnsi="Times New Roman"/>
          <w:sz w:val="28"/>
          <w:szCs w:val="28"/>
          <w:lang w:val="en-US"/>
        </w:rPr>
        <w:t xml:space="preserve">, Bộ </w:t>
      </w:r>
      <w:r w:rsidR="00C521CF">
        <w:rPr>
          <w:rFonts w:ascii="Times New Roman" w:hAnsi="Times New Roman"/>
          <w:sz w:val="28"/>
          <w:szCs w:val="28"/>
          <w:lang w:val="en-US"/>
        </w:rPr>
        <w:t xml:space="preserve">Tài chính </w:t>
      </w:r>
      <w:r w:rsidRPr="001B06DA">
        <w:rPr>
          <w:rFonts w:ascii="Times New Roman" w:hAnsi="Times New Roman"/>
          <w:sz w:val="28"/>
          <w:szCs w:val="28"/>
          <w:lang w:val="en-US"/>
        </w:rPr>
        <w:t>đề</w:t>
      </w:r>
      <w:r w:rsidR="00C521CF">
        <w:rPr>
          <w:rFonts w:ascii="Times New Roman" w:hAnsi="Times New Roman"/>
          <w:sz w:val="28"/>
          <w:szCs w:val="28"/>
          <w:lang w:val="en-US"/>
        </w:rPr>
        <w:t xml:space="preserve"> xuất</w:t>
      </w:r>
      <w:r w:rsidRPr="001B06DA">
        <w:rPr>
          <w:rFonts w:ascii="Times New Roman" w:hAnsi="Times New Roman"/>
          <w:sz w:val="28"/>
          <w:szCs w:val="28"/>
          <w:lang w:val="en-US"/>
        </w:rPr>
        <w:t xml:space="preserve"> bãi bỏ </w:t>
      </w:r>
      <w:r w:rsidRPr="00B05556">
        <w:rPr>
          <w:rFonts w:ascii="Times New Roman" w:hAnsi="Times New Roman"/>
          <w:sz w:val="28"/>
          <w:szCs w:val="28"/>
          <w:lang w:val="en-US"/>
        </w:rPr>
        <w:t>Thông tư số 92/2011/TT-BTC ngày 23/6/2011 của Bộ Tài chính</w:t>
      </w:r>
      <w:r w:rsidR="00C521CF">
        <w:rPr>
          <w:rFonts w:ascii="Times New Roman" w:hAnsi="Times New Roman"/>
          <w:sz w:val="28"/>
          <w:szCs w:val="28"/>
          <w:lang w:val="en-US"/>
        </w:rPr>
        <w:t xml:space="preserve"> theo thẩm quyền</w:t>
      </w:r>
      <w:r w:rsidRPr="001B06DA">
        <w:rPr>
          <w:rFonts w:ascii="Times New Roman" w:hAnsi="Times New Roman"/>
          <w:sz w:val="28"/>
          <w:szCs w:val="28"/>
          <w:lang w:val="en-US"/>
        </w:rPr>
        <w:t>.</w:t>
      </w:r>
    </w:p>
    <w:p w:rsidR="0063069D" w:rsidRDefault="00043B8B"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xml:space="preserve">- </w:t>
      </w:r>
      <w:r w:rsidR="00F55749" w:rsidRPr="00D72C02">
        <w:rPr>
          <w:rFonts w:ascii="Times New Roman" w:hAnsi="Times New Roman"/>
          <w:b/>
          <w:sz w:val="28"/>
          <w:szCs w:val="24"/>
          <w:lang w:val="en-US"/>
        </w:rPr>
        <w:t>Nội dung quy định hết hiệu lực</w:t>
      </w:r>
      <w:r w:rsidR="00F55749">
        <w:rPr>
          <w:rFonts w:ascii="Times New Roman" w:hAnsi="Times New Roman"/>
          <w:sz w:val="28"/>
          <w:szCs w:val="24"/>
          <w:lang w:val="en-US"/>
        </w:rPr>
        <w:t>: Hết hiệu lực toàn bộ.</w:t>
      </w:r>
    </w:p>
    <w:p w:rsidR="0063069D" w:rsidRPr="002A1A33" w:rsidRDefault="005C24F0" w:rsidP="006D5811">
      <w:pPr>
        <w:spacing w:before="120" w:after="120" w:line="240" w:lineRule="auto"/>
        <w:ind w:firstLine="720"/>
        <w:jc w:val="both"/>
        <w:rPr>
          <w:rFonts w:ascii="Times New Roman" w:hAnsi="Times New Roman"/>
          <w:sz w:val="28"/>
          <w:szCs w:val="28"/>
          <w:lang w:val="en-US"/>
        </w:rPr>
      </w:pPr>
      <w:r w:rsidRPr="00C521CF">
        <w:rPr>
          <w:rFonts w:ascii="Times New Roman" w:hAnsi="Times New Roman"/>
          <w:b/>
          <w:sz w:val="28"/>
          <w:szCs w:val="24"/>
          <w:lang w:val="en-US"/>
        </w:rPr>
        <w:t>4.</w:t>
      </w:r>
      <w:r>
        <w:rPr>
          <w:rFonts w:ascii="Times New Roman" w:hAnsi="Times New Roman"/>
          <w:sz w:val="28"/>
          <w:szCs w:val="24"/>
          <w:lang w:val="en-US"/>
        </w:rPr>
        <w:t xml:space="preserve"> </w:t>
      </w:r>
      <w:r w:rsidR="002A1A33" w:rsidRPr="002A1A33">
        <w:rPr>
          <w:rFonts w:ascii="Times New Roman" w:hAnsi="Times New Roman"/>
          <w:sz w:val="28"/>
          <w:szCs w:val="28"/>
          <w:lang w:val="en-US"/>
        </w:rPr>
        <w:t xml:space="preserve">Thông tư số 180/2012/TT-BTC ngày 24/10/2012 của Bộ Tài chính hướng dẫn xử lý tài chính về chi trợ cấp mất việc làm cho người </w:t>
      </w:r>
      <w:proofErr w:type="gramStart"/>
      <w:r w:rsidR="002A1A33" w:rsidRPr="002A1A33">
        <w:rPr>
          <w:rFonts w:ascii="Times New Roman" w:hAnsi="Times New Roman"/>
          <w:sz w:val="28"/>
          <w:szCs w:val="28"/>
          <w:lang w:val="en-US"/>
        </w:rPr>
        <w:t>lao</w:t>
      </w:r>
      <w:proofErr w:type="gramEnd"/>
      <w:r w:rsidR="002A1A33" w:rsidRPr="002A1A33">
        <w:rPr>
          <w:rFonts w:ascii="Times New Roman" w:hAnsi="Times New Roman"/>
          <w:sz w:val="28"/>
          <w:szCs w:val="28"/>
          <w:lang w:val="en-US"/>
        </w:rPr>
        <w:t xml:space="preserve"> động.</w:t>
      </w:r>
    </w:p>
    <w:p w:rsidR="002A1A33" w:rsidRDefault="004F0ACA"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xml:space="preserve">- </w:t>
      </w:r>
      <w:r w:rsidRPr="00D72C02">
        <w:rPr>
          <w:rFonts w:ascii="Times New Roman" w:hAnsi="Times New Roman"/>
          <w:b/>
          <w:sz w:val="28"/>
          <w:szCs w:val="24"/>
          <w:lang w:val="en-US"/>
        </w:rPr>
        <w:t xml:space="preserve">Lý </w:t>
      </w:r>
      <w:proofErr w:type="gramStart"/>
      <w:r w:rsidRPr="00D72C02">
        <w:rPr>
          <w:rFonts w:ascii="Times New Roman" w:hAnsi="Times New Roman"/>
          <w:b/>
          <w:sz w:val="28"/>
          <w:szCs w:val="24"/>
          <w:lang w:val="en-US"/>
        </w:rPr>
        <w:t>do</w:t>
      </w:r>
      <w:proofErr w:type="gramEnd"/>
      <w:r w:rsidRPr="00D72C02">
        <w:rPr>
          <w:rFonts w:ascii="Times New Roman" w:hAnsi="Times New Roman"/>
          <w:b/>
          <w:sz w:val="28"/>
          <w:szCs w:val="24"/>
          <w:lang w:val="en-US"/>
        </w:rPr>
        <w:t xml:space="preserve"> bãi bỏ</w:t>
      </w:r>
      <w:r>
        <w:rPr>
          <w:rFonts w:ascii="Times New Roman" w:hAnsi="Times New Roman"/>
          <w:sz w:val="28"/>
          <w:szCs w:val="24"/>
          <w:lang w:val="en-US"/>
        </w:rPr>
        <w:t xml:space="preserve">: </w:t>
      </w:r>
    </w:p>
    <w:p w:rsidR="004F0ACA" w:rsidRPr="000E20CE" w:rsidRDefault="00A36A0A"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T</w:t>
      </w:r>
      <w:r w:rsidRPr="00A36A0A">
        <w:rPr>
          <w:rFonts w:ascii="Times New Roman" w:hAnsi="Times New Roman"/>
          <w:sz w:val="28"/>
          <w:szCs w:val="28"/>
          <w:lang w:val="en-US"/>
        </w:rPr>
        <w:t>ại Thông tư số 82/2003/TT-BTC</w:t>
      </w:r>
      <w:r>
        <w:rPr>
          <w:rFonts w:ascii="Times New Roman" w:hAnsi="Times New Roman"/>
          <w:sz w:val="28"/>
          <w:szCs w:val="28"/>
          <w:lang w:val="en-US"/>
        </w:rPr>
        <w:t xml:space="preserve"> ngày 14/8/2003 của Bộ Tài chính về việc </w:t>
      </w:r>
      <w:r w:rsidRPr="00A36A0A">
        <w:rPr>
          <w:rFonts w:ascii="Times New Roman" w:hAnsi="Times New Roman"/>
          <w:sz w:val="28"/>
          <w:szCs w:val="28"/>
          <w:lang w:val="en-US"/>
        </w:rPr>
        <w:t>trích lập, quản lý, sử dụng và hạch toán Quỹ dự phòng về trợ cấp mất việc làm tại doanh nghiệp</w:t>
      </w:r>
      <w:r w:rsidR="000E20CE">
        <w:rPr>
          <w:rFonts w:ascii="Times New Roman" w:hAnsi="Times New Roman"/>
          <w:sz w:val="28"/>
          <w:szCs w:val="28"/>
          <w:lang w:val="en-US"/>
        </w:rPr>
        <w:t xml:space="preserve"> </w:t>
      </w:r>
      <w:r w:rsidR="000E20CE" w:rsidRPr="000E20CE">
        <w:rPr>
          <w:rFonts w:ascii="Times New Roman" w:hAnsi="Times New Roman"/>
          <w:sz w:val="28"/>
          <w:szCs w:val="24"/>
          <w:lang w:val="en-US"/>
        </w:rPr>
        <w:t>và chế độ kế toán doanh nghiệp ban hành theo Quyết định số 15/2006/QĐ-BTC ngày 20/3/2006 của Bộ Tài chính</w:t>
      </w:r>
      <w:r w:rsidR="000E20CE">
        <w:rPr>
          <w:rFonts w:ascii="Times New Roman" w:hAnsi="Times New Roman"/>
          <w:sz w:val="28"/>
          <w:szCs w:val="24"/>
          <w:lang w:val="en-US"/>
        </w:rPr>
        <w:t xml:space="preserve"> thì doanh nghiệp được trích lập và hạch toán kế toán đối với Quỹ dự phòng trợ cấp mất việc làm tại doanh nghiệp để chi trả </w:t>
      </w:r>
      <w:r w:rsidR="00EB65FC" w:rsidRPr="00A36A0A">
        <w:rPr>
          <w:rFonts w:ascii="Times New Roman" w:hAnsi="Times New Roman"/>
          <w:sz w:val="28"/>
          <w:szCs w:val="28"/>
          <w:lang w:val="en-US"/>
        </w:rPr>
        <w:t>trợ cấp mất việc làm</w:t>
      </w:r>
      <w:r w:rsidR="00EB65FC">
        <w:rPr>
          <w:rFonts w:ascii="Times New Roman" w:hAnsi="Times New Roman"/>
          <w:sz w:val="28"/>
          <w:szCs w:val="28"/>
          <w:lang w:val="en-US"/>
        </w:rPr>
        <w:t xml:space="preserve"> cho người lao động</w:t>
      </w:r>
      <w:r w:rsidRPr="000E20CE">
        <w:rPr>
          <w:rFonts w:ascii="Times New Roman" w:hAnsi="Times New Roman"/>
          <w:sz w:val="28"/>
          <w:szCs w:val="24"/>
          <w:lang w:val="en-US"/>
        </w:rPr>
        <w:t>.</w:t>
      </w:r>
    </w:p>
    <w:p w:rsidR="00EB65FC" w:rsidRDefault="00EB65FC" w:rsidP="006D5811">
      <w:pPr>
        <w:spacing w:before="120" w:after="120" w:line="240" w:lineRule="auto"/>
        <w:ind w:firstLine="720"/>
        <w:jc w:val="both"/>
        <w:rPr>
          <w:rFonts w:ascii="Times New Roman" w:hAnsi="Times New Roman"/>
          <w:sz w:val="28"/>
          <w:szCs w:val="28"/>
          <w:lang w:val="en-US"/>
        </w:rPr>
      </w:pPr>
      <w:r>
        <w:rPr>
          <w:rFonts w:ascii="Times New Roman" w:hAnsi="Times New Roman"/>
          <w:sz w:val="28"/>
          <w:szCs w:val="28"/>
          <w:lang w:val="en-US"/>
        </w:rPr>
        <w:lastRenderedPageBreak/>
        <w:t>+ Qua rà soát, n</w:t>
      </w:r>
      <w:r w:rsidR="00A36A0A" w:rsidRPr="00A36A0A">
        <w:rPr>
          <w:rFonts w:ascii="Times New Roman" w:hAnsi="Times New Roman"/>
          <w:sz w:val="28"/>
          <w:szCs w:val="28"/>
          <w:lang w:val="en-US"/>
        </w:rPr>
        <w:t xml:space="preserve">ội dung </w:t>
      </w:r>
      <w:r>
        <w:rPr>
          <w:rFonts w:ascii="Times New Roman" w:hAnsi="Times New Roman"/>
          <w:sz w:val="28"/>
          <w:szCs w:val="28"/>
          <w:lang w:val="en-US"/>
        </w:rPr>
        <w:t xml:space="preserve">Thông tư </w:t>
      </w:r>
      <w:r w:rsidR="0089685B">
        <w:rPr>
          <w:rFonts w:ascii="Times New Roman" w:hAnsi="Times New Roman"/>
          <w:sz w:val="28"/>
          <w:szCs w:val="28"/>
          <w:lang w:val="en-US"/>
        </w:rPr>
        <w:t>số 180/2012/TT-BTC</w:t>
      </w:r>
      <w:r w:rsidR="00FF5DC6">
        <w:rPr>
          <w:rFonts w:ascii="Times New Roman" w:hAnsi="Times New Roman"/>
          <w:sz w:val="28"/>
          <w:szCs w:val="28"/>
          <w:lang w:val="en-US"/>
        </w:rPr>
        <w:t xml:space="preserve"> </w:t>
      </w:r>
      <w:r>
        <w:rPr>
          <w:rFonts w:ascii="Times New Roman" w:hAnsi="Times New Roman"/>
          <w:sz w:val="28"/>
          <w:szCs w:val="28"/>
          <w:lang w:val="en-US"/>
        </w:rPr>
        <w:t xml:space="preserve">chỉ quy định </w:t>
      </w:r>
      <w:r w:rsidR="00A36A0A" w:rsidRPr="00A36A0A">
        <w:rPr>
          <w:rFonts w:ascii="Times New Roman" w:hAnsi="Times New Roman"/>
          <w:sz w:val="28"/>
          <w:szCs w:val="28"/>
          <w:lang w:val="en-US"/>
        </w:rPr>
        <w:t xml:space="preserve">hướng dẫn xử lý đối với số dư Quỹ dự phòng trợ cấp mất việc làm đã trích lập theo quy định tại Thông tư số 82/2003/TT-BTC tại thời điểm lập báo cáo tài chính năm 2012 và không được chuyển số dư Quỹ sang năm sau để sử dụng. Do đó, chính sách này không phát sinh ở các năm sau. </w:t>
      </w:r>
    </w:p>
    <w:p w:rsidR="00A36A0A" w:rsidRDefault="00EB65FC" w:rsidP="00CE4500">
      <w:pPr>
        <w:spacing w:before="120" w:after="120" w:line="240" w:lineRule="auto"/>
        <w:ind w:firstLine="720"/>
        <w:jc w:val="both"/>
        <w:rPr>
          <w:rFonts w:ascii="Times New Roman" w:hAnsi="Times New Roman"/>
          <w:sz w:val="28"/>
          <w:szCs w:val="28"/>
          <w:lang w:val="en-US"/>
        </w:rPr>
      </w:pPr>
      <w:r>
        <w:rPr>
          <w:rFonts w:ascii="Times New Roman" w:hAnsi="Times New Roman"/>
          <w:sz w:val="28"/>
          <w:szCs w:val="28"/>
          <w:lang w:val="en-US"/>
        </w:rPr>
        <w:t xml:space="preserve">+ Tại khoản 1 Điều 2 </w:t>
      </w:r>
      <w:r w:rsidRPr="002A1A33">
        <w:rPr>
          <w:rFonts w:ascii="Times New Roman" w:hAnsi="Times New Roman"/>
          <w:sz w:val="28"/>
          <w:szCs w:val="28"/>
          <w:lang w:val="en-US"/>
        </w:rPr>
        <w:t xml:space="preserve">Thông tư số 180/2012/TT-BTC ngày 24/10/2012 của Bộ Tài chính </w:t>
      </w:r>
      <w:r>
        <w:rPr>
          <w:rFonts w:ascii="Times New Roman" w:hAnsi="Times New Roman"/>
          <w:sz w:val="28"/>
          <w:szCs w:val="28"/>
          <w:lang w:val="en-US"/>
        </w:rPr>
        <w:t>quy định k</w:t>
      </w:r>
      <w:r w:rsidRPr="00EB65FC">
        <w:rPr>
          <w:rFonts w:ascii="Times New Roman" w:hAnsi="Times New Roman"/>
          <w:sz w:val="28"/>
          <w:szCs w:val="28"/>
          <w:lang w:val="en-US"/>
        </w:rPr>
        <w:t>hoản chi trợ cấp mất việc làm cho người lao động trong trường hợp doanh nghiệp có thay đổi cơ cấu hoặc công nghệ theo quy định tại </w:t>
      </w:r>
      <w:bookmarkStart w:id="0" w:name="dc_1"/>
      <w:r w:rsidRPr="00EB65FC">
        <w:rPr>
          <w:rFonts w:ascii="Times New Roman" w:hAnsi="Times New Roman"/>
          <w:sz w:val="28"/>
          <w:szCs w:val="28"/>
          <w:lang w:val="en-US"/>
        </w:rPr>
        <w:t>khoản 1 Điều 17 của Bộ luật Lao động năm 1994</w:t>
      </w:r>
      <w:bookmarkEnd w:id="0"/>
      <w:r w:rsidRPr="00EB65FC">
        <w:rPr>
          <w:rFonts w:ascii="Times New Roman" w:hAnsi="Times New Roman"/>
          <w:sz w:val="28"/>
          <w:szCs w:val="28"/>
          <w:lang w:val="en-US"/>
        </w:rPr>
        <w:t>, </w:t>
      </w:r>
      <w:bookmarkStart w:id="1" w:name="dc_2"/>
      <w:r w:rsidRPr="00EB65FC">
        <w:rPr>
          <w:rFonts w:ascii="Times New Roman" w:hAnsi="Times New Roman"/>
          <w:sz w:val="28"/>
          <w:szCs w:val="28"/>
          <w:lang w:val="en-US"/>
        </w:rPr>
        <w:t>Điều 11 Nghị định số 39/2003/NĐ-CP</w:t>
      </w:r>
      <w:bookmarkEnd w:id="1"/>
      <w:r w:rsidRPr="00EB65FC">
        <w:rPr>
          <w:rFonts w:ascii="Times New Roman" w:hAnsi="Times New Roman"/>
          <w:sz w:val="28"/>
          <w:szCs w:val="28"/>
          <w:lang w:val="en-US"/>
        </w:rPr>
        <w:t> ngày 18/04/2003 của Chính phủ quy định chi tiết và hướng dẫn thi hành một số điều của </w:t>
      </w:r>
      <w:bookmarkStart w:id="2" w:name="tvpllink_rrfktziayu_2"/>
      <w:r w:rsidR="003D274A" w:rsidRPr="00EB65FC">
        <w:rPr>
          <w:rFonts w:ascii="Times New Roman" w:hAnsi="Times New Roman"/>
          <w:sz w:val="28"/>
          <w:szCs w:val="28"/>
          <w:lang w:val="en-US"/>
        </w:rPr>
        <w:fldChar w:fldCharType="begin"/>
      </w:r>
      <w:r w:rsidRPr="00EB65FC">
        <w:rPr>
          <w:rFonts w:ascii="Times New Roman" w:hAnsi="Times New Roman"/>
          <w:sz w:val="28"/>
          <w:szCs w:val="28"/>
          <w:lang w:val="en-US"/>
        </w:rPr>
        <w:instrText xml:space="preserve"> HYPERLINK "https://thuvienphapluat.vn/van-ban/Lao-dong-Tien-luong/Bo-luat-Lao-dong-1994-35-L-CTN-38702.aspx" \t "_blank" </w:instrText>
      </w:r>
      <w:r w:rsidR="003D274A" w:rsidRPr="00EB65FC">
        <w:rPr>
          <w:rFonts w:ascii="Times New Roman" w:hAnsi="Times New Roman"/>
          <w:sz w:val="28"/>
          <w:szCs w:val="28"/>
          <w:lang w:val="en-US"/>
        </w:rPr>
        <w:fldChar w:fldCharType="separate"/>
      </w:r>
      <w:r w:rsidRPr="00EB65FC">
        <w:rPr>
          <w:rFonts w:ascii="Times New Roman" w:hAnsi="Times New Roman"/>
          <w:sz w:val="28"/>
          <w:szCs w:val="28"/>
          <w:lang w:val="en-US"/>
        </w:rPr>
        <w:t>Bộ Luật lao động</w:t>
      </w:r>
      <w:r w:rsidR="003D274A" w:rsidRPr="00EB65FC">
        <w:rPr>
          <w:rFonts w:ascii="Times New Roman" w:hAnsi="Times New Roman"/>
          <w:sz w:val="28"/>
          <w:szCs w:val="28"/>
          <w:lang w:val="en-US"/>
        </w:rPr>
        <w:fldChar w:fldCharType="end"/>
      </w:r>
      <w:bookmarkEnd w:id="2"/>
      <w:r w:rsidRPr="00EB65FC">
        <w:rPr>
          <w:rFonts w:ascii="Times New Roman" w:hAnsi="Times New Roman"/>
          <w:sz w:val="28"/>
          <w:szCs w:val="28"/>
          <w:lang w:val="en-US"/>
        </w:rPr>
        <w:t> về việc làm</w:t>
      </w:r>
      <w:r w:rsidR="0089685B">
        <w:rPr>
          <w:rFonts w:ascii="Times New Roman" w:hAnsi="Times New Roman"/>
          <w:sz w:val="28"/>
          <w:szCs w:val="28"/>
          <w:lang w:val="en-US"/>
        </w:rPr>
        <w:t xml:space="preserve"> (nội dung quy định này đã hết hiệu lực thi hành và được thay thế bởi quy định của Bộ luật lao động năm 2019 và </w:t>
      </w:r>
      <w:r w:rsidR="00CE4500">
        <w:rPr>
          <w:rFonts w:ascii="Times New Roman" w:hAnsi="Times New Roman"/>
          <w:sz w:val="28"/>
          <w:szCs w:val="28"/>
          <w:lang w:val="en-US"/>
        </w:rPr>
        <w:t>hướng dẫn tại Nghị định số 145/2020/NĐ-CP ngày 14/12/2020 của Chính phủ</w:t>
      </w:r>
      <w:r w:rsidR="0089685B">
        <w:rPr>
          <w:rFonts w:ascii="Times New Roman" w:hAnsi="Times New Roman"/>
          <w:sz w:val="28"/>
          <w:szCs w:val="28"/>
          <w:lang w:val="en-US"/>
        </w:rPr>
        <w:t>).</w:t>
      </w:r>
      <w:r w:rsidR="00CE4500">
        <w:rPr>
          <w:rFonts w:ascii="Times New Roman" w:hAnsi="Times New Roman"/>
          <w:sz w:val="28"/>
          <w:szCs w:val="28"/>
          <w:lang w:val="en-US"/>
        </w:rPr>
        <w:t xml:space="preserve"> </w:t>
      </w:r>
      <w:proofErr w:type="gramStart"/>
      <w:r w:rsidR="00CE4500">
        <w:rPr>
          <w:rFonts w:ascii="Times New Roman" w:hAnsi="Times New Roman"/>
          <w:sz w:val="28"/>
          <w:szCs w:val="28"/>
          <w:lang w:val="en-US"/>
        </w:rPr>
        <w:t>T</w:t>
      </w:r>
      <w:r>
        <w:rPr>
          <w:rFonts w:ascii="Times New Roman" w:hAnsi="Times New Roman"/>
          <w:sz w:val="28"/>
          <w:szCs w:val="28"/>
          <w:lang w:val="en-US"/>
        </w:rPr>
        <w:t>heo đó, k</w:t>
      </w:r>
      <w:r w:rsidR="00A36A0A" w:rsidRPr="00A36A0A">
        <w:rPr>
          <w:rFonts w:ascii="Times New Roman" w:hAnsi="Times New Roman"/>
          <w:sz w:val="28"/>
          <w:szCs w:val="28"/>
          <w:lang w:val="en-US"/>
        </w:rPr>
        <w:t xml:space="preserve">inh phí </w:t>
      </w:r>
      <w:r>
        <w:rPr>
          <w:rFonts w:ascii="Times New Roman" w:hAnsi="Times New Roman"/>
          <w:sz w:val="28"/>
          <w:szCs w:val="28"/>
          <w:lang w:val="en-US"/>
        </w:rPr>
        <w:t xml:space="preserve">chi trả </w:t>
      </w:r>
      <w:r w:rsidR="00A36A0A" w:rsidRPr="00A36A0A">
        <w:rPr>
          <w:rFonts w:ascii="Times New Roman" w:hAnsi="Times New Roman"/>
          <w:sz w:val="28"/>
          <w:szCs w:val="28"/>
          <w:lang w:val="en-US"/>
        </w:rPr>
        <w:t xml:space="preserve">được hạch toán vào chi phí sản xuất kinh doanh của </w:t>
      </w:r>
      <w:r>
        <w:rPr>
          <w:rFonts w:ascii="Times New Roman" w:hAnsi="Times New Roman"/>
          <w:sz w:val="28"/>
          <w:szCs w:val="28"/>
          <w:lang w:val="en-US"/>
        </w:rPr>
        <w:t>doanh nghiệp</w:t>
      </w:r>
      <w:r w:rsidR="00A36A0A" w:rsidRPr="00A36A0A">
        <w:rPr>
          <w:rFonts w:ascii="Times New Roman" w:hAnsi="Times New Roman"/>
          <w:sz w:val="28"/>
          <w:szCs w:val="28"/>
          <w:lang w:val="en-US"/>
        </w:rPr>
        <w:t>.</w:t>
      </w:r>
      <w:proofErr w:type="gramEnd"/>
      <w:r w:rsidR="00A36A0A" w:rsidRPr="00A36A0A">
        <w:rPr>
          <w:rFonts w:ascii="Times New Roman" w:hAnsi="Times New Roman"/>
          <w:sz w:val="28"/>
          <w:szCs w:val="28"/>
          <w:lang w:val="en-US"/>
        </w:rPr>
        <w:t xml:space="preserve"> </w:t>
      </w:r>
      <w:proofErr w:type="gramStart"/>
      <w:r>
        <w:rPr>
          <w:rFonts w:ascii="Times New Roman" w:hAnsi="Times New Roman"/>
          <w:sz w:val="28"/>
          <w:szCs w:val="28"/>
          <w:lang w:val="en-US"/>
        </w:rPr>
        <w:t xml:space="preserve">Đồng thời, </w:t>
      </w:r>
      <w:r w:rsidR="00A36A0A" w:rsidRPr="00A36A0A">
        <w:rPr>
          <w:rFonts w:ascii="Times New Roman" w:hAnsi="Times New Roman"/>
          <w:sz w:val="28"/>
          <w:szCs w:val="28"/>
          <w:lang w:val="en-US"/>
        </w:rPr>
        <w:t xml:space="preserve">chế độ kế toán </w:t>
      </w:r>
      <w:r w:rsidR="009F6165">
        <w:rPr>
          <w:rFonts w:ascii="Times New Roman" w:hAnsi="Times New Roman"/>
          <w:sz w:val="28"/>
          <w:szCs w:val="28"/>
          <w:lang w:val="en-US"/>
        </w:rPr>
        <w:t xml:space="preserve">hiện hành </w:t>
      </w:r>
      <w:r w:rsidR="00A36A0A" w:rsidRPr="00A36A0A">
        <w:rPr>
          <w:rFonts w:ascii="Times New Roman" w:hAnsi="Times New Roman"/>
          <w:sz w:val="28"/>
          <w:szCs w:val="28"/>
          <w:lang w:val="en-US"/>
        </w:rPr>
        <w:t xml:space="preserve">quy định tại Thông tư số 200/2014/TT-BTC </w:t>
      </w:r>
      <w:r w:rsidR="009F6165">
        <w:rPr>
          <w:rFonts w:ascii="Times New Roman" w:hAnsi="Times New Roman"/>
          <w:sz w:val="28"/>
          <w:szCs w:val="28"/>
          <w:lang w:val="en-US"/>
        </w:rPr>
        <w:t xml:space="preserve">ngày 22/12/2014 của Bộ Tài chính </w:t>
      </w:r>
      <w:r w:rsidR="00A36A0A" w:rsidRPr="00A36A0A">
        <w:rPr>
          <w:rFonts w:ascii="Times New Roman" w:hAnsi="Times New Roman"/>
          <w:sz w:val="28"/>
          <w:szCs w:val="28"/>
          <w:lang w:val="en-US"/>
        </w:rPr>
        <w:t>đã không còn tồn tại Quỹ dự phòng trợ cấp mất việc làm.</w:t>
      </w:r>
      <w:proofErr w:type="gramEnd"/>
      <w:r w:rsidR="00A36A0A" w:rsidRPr="00A36A0A">
        <w:rPr>
          <w:rFonts w:ascii="Times New Roman" w:hAnsi="Times New Roman"/>
          <w:sz w:val="28"/>
          <w:szCs w:val="28"/>
          <w:lang w:val="en-US"/>
        </w:rPr>
        <w:t xml:space="preserve"> </w:t>
      </w:r>
    </w:p>
    <w:p w:rsidR="00CE4500" w:rsidRPr="00A36A0A" w:rsidRDefault="00CE4500" w:rsidP="00CE4500">
      <w:pPr>
        <w:spacing w:before="120" w:after="120" w:line="240" w:lineRule="auto"/>
        <w:ind w:firstLine="720"/>
        <w:jc w:val="both"/>
        <w:rPr>
          <w:rFonts w:ascii="Times New Roman" w:hAnsi="Times New Roman"/>
          <w:sz w:val="28"/>
          <w:szCs w:val="28"/>
          <w:lang w:val="en-US"/>
        </w:rPr>
      </w:pPr>
      <w:r w:rsidRPr="001B06DA">
        <w:rPr>
          <w:rFonts w:ascii="Times New Roman" w:hAnsi="Times New Roman"/>
          <w:sz w:val="28"/>
          <w:szCs w:val="28"/>
          <w:lang w:val="en-US"/>
        </w:rPr>
        <w:t xml:space="preserve"> </w:t>
      </w:r>
      <w:r>
        <w:rPr>
          <w:rFonts w:ascii="Times New Roman" w:hAnsi="Times New Roman"/>
          <w:sz w:val="28"/>
          <w:szCs w:val="28"/>
          <w:lang w:val="en-US"/>
        </w:rPr>
        <w:t>Do đó</w:t>
      </w:r>
      <w:r w:rsidRPr="001B06DA">
        <w:rPr>
          <w:rFonts w:ascii="Times New Roman" w:hAnsi="Times New Roman"/>
          <w:sz w:val="28"/>
          <w:szCs w:val="28"/>
          <w:lang w:val="en-US"/>
        </w:rPr>
        <w:t xml:space="preserve">, </w:t>
      </w:r>
      <w:r>
        <w:rPr>
          <w:rFonts w:ascii="Times New Roman" w:hAnsi="Times New Roman"/>
          <w:sz w:val="28"/>
          <w:szCs w:val="28"/>
          <w:lang w:val="en-US"/>
        </w:rPr>
        <w:t>căn cứ quy định tại khoản 4 Điều 154 Luật Ban hành văn bản QPPL năm 2015</w:t>
      </w:r>
      <w:r w:rsidR="005C7EA1">
        <w:rPr>
          <w:rFonts w:ascii="Times New Roman" w:hAnsi="Times New Roman"/>
          <w:sz w:val="28"/>
          <w:szCs w:val="28"/>
          <w:lang w:val="en-US"/>
        </w:rPr>
        <w:t xml:space="preserve"> </w:t>
      </w:r>
      <w:r w:rsidR="005C7EA1">
        <w:rPr>
          <w:rFonts w:ascii="Times New Roman" w:hAnsi="Times New Roman"/>
          <w:sz w:val="28"/>
          <w:szCs w:val="24"/>
          <w:lang w:val="en-US"/>
        </w:rPr>
        <w:t>(khoản 2 Điều 8</w:t>
      </w:r>
      <w:r w:rsidR="008F155D">
        <w:rPr>
          <w:rFonts w:ascii="Times New Roman" w:hAnsi="Times New Roman"/>
          <w:sz w:val="28"/>
          <w:szCs w:val="24"/>
          <w:lang w:val="en-US"/>
        </w:rPr>
        <w:t>, khoản 1 Điều 57</w:t>
      </w:r>
      <w:r w:rsidR="005C7EA1">
        <w:rPr>
          <w:rFonts w:ascii="Times New Roman" w:hAnsi="Times New Roman"/>
          <w:sz w:val="28"/>
          <w:szCs w:val="24"/>
          <w:lang w:val="en-US"/>
        </w:rPr>
        <w:t xml:space="preserve"> </w:t>
      </w:r>
      <w:r w:rsidR="005C7EA1" w:rsidRPr="00B05556">
        <w:rPr>
          <w:rFonts w:ascii="Times New Roman" w:hAnsi="Times New Roman"/>
          <w:sz w:val="28"/>
          <w:szCs w:val="24"/>
          <w:lang w:val="en-US"/>
        </w:rPr>
        <w:t xml:space="preserve">Luật Ban hành văn bản QPPL năm </w:t>
      </w:r>
      <w:r w:rsidR="005C7EA1">
        <w:rPr>
          <w:rFonts w:ascii="Times New Roman" w:hAnsi="Times New Roman"/>
          <w:sz w:val="28"/>
          <w:szCs w:val="24"/>
          <w:lang w:val="en-US"/>
        </w:rPr>
        <w:t>202</w:t>
      </w:r>
      <w:r w:rsidR="005C7EA1" w:rsidRPr="00B05556">
        <w:rPr>
          <w:rFonts w:ascii="Times New Roman" w:hAnsi="Times New Roman"/>
          <w:sz w:val="28"/>
          <w:szCs w:val="24"/>
          <w:lang w:val="en-US"/>
        </w:rPr>
        <w:t>5</w:t>
      </w:r>
      <w:r w:rsidR="005C7EA1">
        <w:rPr>
          <w:rFonts w:ascii="Times New Roman" w:hAnsi="Times New Roman"/>
          <w:sz w:val="28"/>
          <w:szCs w:val="24"/>
          <w:lang w:val="en-US"/>
        </w:rPr>
        <w:t>, có hiệu lực thi hành từ 01/4/2025)</w:t>
      </w:r>
      <w:r>
        <w:rPr>
          <w:rFonts w:ascii="Times New Roman" w:hAnsi="Times New Roman"/>
          <w:sz w:val="28"/>
          <w:szCs w:val="28"/>
          <w:lang w:val="en-US"/>
        </w:rPr>
        <w:t xml:space="preserve">, Bộ </w:t>
      </w:r>
      <w:r w:rsidR="00C521CF">
        <w:rPr>
          <w:rFonts w:ascii="Times New Roman" w:hAnsi="Times New Roman"/>
          <w:sz w:val="28"/>
          <w:szCs w:val="28"/>
          <w:lang w:val="en-US"/>
        </w:rPr>
        <w:t xml:space="preserve">Tài chính </w:t>
      </w:r>
      <w:r w:rsidRPr="001B06DA">
        <w:rPr>
          <w:rFonts w:ascii="Times New Roman" w:hAnsi="Times New Roman"/>
          <w:sz w:val="28"/>
          <w:szCs w:val="28"/>
          <w:lang w:val="en-US"/>
        </w:rPr>
        <w:t>đề</w:t>
      </w:r>
      <w:r w:rsidR="00C521CF">
        <w:rPr>
          <w:rFonts w:ascii="Times New Roman" w:hAnsi="Times New Roman"/>
          <w:sz w:val="28"/>
          <w:szCs w:val="28"/>
          <w:lang w:val="en-US"/>
        </w:rPr>
        <w:t xml:space="preserve"> xuất</w:t>
      </w:r>
      <w:r w:rsidRPr="001B06DA">
        <w:rPr>
          <w:rFonts w:ascii="Times New Roman" w:hAnsi="Times New Roman"/>
          <w:sz w:val="28"/>
          <w:szCs w:val="28"/>
          <w:lang w:val="en-US"/>
        </w:rPr>
        <w:t xml:space="preserve"> bãi bỏ </w:t>
      </w:r>
      <w:r w:rsidRPr="002A1A33">
        <w:rPr>
          <w:rFonts w:ascii="Times New Roman" w:hAnsi="Times New Roman"/>
          <w:sz w:val="28"/>
          <w:szCs w:val="28"/>
          <w:lang w:val="en-US"/>
        </w:rPr>
        <w:t>Thông tư số 180/2012/TT-BTC ngày 24/10/2012 của Bộ Tài chính</w:t>
      </w:r>
      <w:r w:rsidR="00C521CF">
        <w:rPr>
          <w:rFonts w:ascii="Times New Roman" w:hAnsi="Times New Roman"/>
          <w:sz w:val="28"/>
          <w:szCs w:val="28"/>
          <w:lang w:val="en-US"/>
        </w:rPr>
        <w:t xml:space="preserve"> theo thẩm quyền</w:t>
      </w:r>
      <w:r w:rsidRPr="001B06DA">
        <w:rPr>
          <w:rFonts w:ascii="Times New Roman" w:hAnsi="Times New Roman"/>
          <w:sz w:val="28"/>
          <w:szCs w:val="28"/>
          <w:lang w:val="en-US"/>
        </w:rPr>
        <w:t>.</w:t>
      </w:r>
    </w:p>
    <w:p w:rsidR="004F0ACA" w:rsidRDefault="004F0ACA" w:rsidP="006D5811">
      <w:pPr>
        <w:spacing w:before="120" w:after="120" w:line="240" w:lineRule="auto"/>
        <w:ind w:firstLine="720"/>
        <w:jc w:val="both"/>
        <w:rPr>
          <w:rFonts w:ascii="Times New Roman" w:hAnsi="Times New Roman"/>
          <w:sz w:val="28"/>
          <w:szCs w:val="24"/>
          <w:lang w:val="en-US"/>
        </w:rPr>
      </w:pPr>
      <w:r>
        <w:rPr>
          <w:rFonts w:ascii="Times New Roman" w:hAnsi="Times New Roman"/>
          <w:sz w:val="28"/>
          <w:szCs w:val="24"/>
          <w:lang w:val="en-US"/>
        </w:rPr>
        <w:t xml:space="preserve">- </w:t>
      </w:r>
      <w:r w:rsidRPr="00D72C02">
        <w:rPr>
          <w:rFonts w:ascii="Times New Roman" w:hAnsi="Times New Roman"/>
          <w:b/>
          <w:sz w:val="28"/>
          <w:szCs w:val="24"/>
          <w:lang w:val="en-US"/>
        </w:rPr>
        <w:t>Nội dung quy định hết hiệu lực</w:t>
      </w:r>
      <w:r>
        <w:rPr>
          <w:rFonts w:ascii="Times New Roman" w:hAnsi="Times New Roman"/>
          <w:sz w:val="28"/>
          <w:szCs w:val="24"/>
          <w:lang w:val="en-US"/>
        </w:rPr>
        <w:t>: Hết hiệu lực toàn bộ.</w:t>
      </w:r>
    </w:p>
    <w:p w:rsidR="00313D44" w:rsidRDefault="00C521CF" w:rsidP="00C521CF">
      <w:pPr>
        <w:spacing w:before="120" w:after="120" w:line="240" w:lineRule="auto"/>
        <w:ind w:firstLine="720"/>
        <w:jc w:val="both"/>
        <w:rPr>
          <w:rFonts w:ascii="Times New Roman" w:hAnsi="Times New Roman"/>
          <w:b/>
          <w:sz w:val="28"/>
          <w:szCs w:val="28"/>
          <w:lang w:val="nl-NL"/>
        </w:rPr>
      </w:pPr>
      <w:r>
        <w:rPr>
          <w:rFonts w:ascii="Times New Roman" w:hAnsi="Times New Roman"/>
          <w:sz w:val="28"/>
          <w:szCs w:val="28"/>
          <w:lang w:val="en-US"/>
        </w:rPr>
        <w:t>Căn cứ kết quả rà soát nêu trên</w:t>
      </w:r>
      <w:r w:rsidR="00085A65" w:rsidRPr="006E6D87">
        <w:rPr>
          <w:rFonts w:ascii="Times New Roman" w:hAnsi="Times New Roman"/>
          <w:sz w:val="28"/>
          <w:szCs w:val="28"/>
          <w:lang w:val="en-US"/>
        </w:rPr>
        <w:t xml:space="preserve">, </w:t>
      </w:r>
      <w:r>
        <w:rPr>
          <w:rFonts w:ascii="Times New Roman" w:hAnsi="Times New Roman"/>
          <w:sz w:val="28"/>
          <w:szCs w:val="28"/>
          <w:lang w:val="en-US"/>
        </w:rPr>
        <w:t>Bộ Tài chính</w:t>
      </w:r>
      <w:r w:rsidR="00085A65" w:rsidRPr="006E6D87">
        <w:rPr>
          <w:rFonts w:ascii="Times New Roman" w:hAnsi="Times New Roman"/>
          <w:sz w:val="28"/>
          <w:szCs w:val="28"/>
          <w:lang w:val="en-US"/>
        </w:rPr>
        <w:t xml:space="preserve"> </w:t>
      </w:r>
      <w:r w:rsidR="00F6634B">
        <w:rPr>
          <w:rFonts w:ascii="Times New Roman" w:hAnsi="Times New Roman"/>
          <w:sz w:val="28"/>
          <w:szCs w:val="28"/>
          <w:lang w:val="en-US"/>
        </w:rPr>
        <w:t xml:space="preserve">dự thảo Thông tư bãi bỏ một số văn bản quy phạm pháp luật do Bộ trưởng Bộ Tài chính ban hành trong lĩnh vực tài chính doanh nghiệp </w:t>
      </w:r>
      <w:r>
        <w:rPr>
          <w:rFonts w:ascii="Times New Roman" w:hAnsi="Times New Roman"/>
          <w:sz w:val="28"/>
          <w:szCs w:val="28"/>
          <w:lang w:val="en-US"/>
        </w:rPr>
        <w:t>(kèm theo)./.</w:t>
      </w:r>
    </w:p>
    <w:sectPr w:rsidR="00313D44" w:rsidSect="00CE4500">
      <w:headerReference w:type="default" r:id="rId9"/>
      <w:pgSz w:w="11906" w:h="16838"/>
      <w:pgMar w:top="1134" w:right="1134" w:bottom="1134" w:left="1701" w:header="567"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96C" w:rsidRDefault="00AE296C" w:rsidP="00D72C02">
      <w:pPr>
        <w:spacing w:after="0" w:line="240" w:lineRule="auto"/>
      </w:pPr>
      <w:r>
        <w:separator/>
      </w:r>
    </w:p>
  </w:endnote>
  <w:endnote w:type="continuationSeparator" w:id="0">
    <w:p w:rsidR="00AE296C" w:rsidRDefault="00AE296C" w:rsidP="00D72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96C" w:rsidRDefault="00AE296C" w:rsidP="00D72C02">
      <w:pPr>
        <w:spacing w:after="0" w:line="240" w:lineRule="auto"/>
      </w:pPr>
      <w:r>
        <w:separator/>
      </w:r>
    </w:p>
  </w:footnote>
  <w:footnote w:type="continuationSeparator" w:id="0">
    <w:p w:rsidR="00AE296C" w:rsidRDefault="00AE296C" w:rsidP="00D72C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778639"/>
      <w:docPartObj>
        <w:docPartGallery w:val="Page Numbers (Top of Page)"/>
        <w:docPartUnique/>
      </w:docPartObj>
    </w:sdtPr>
    <w:sdtContent>
      <w:p w:rsidR="00775295" w:rsidRDefault="003D274A">
        <w:pPr>
          <w:pStyle w:val="Header"/>
          <w:jc w:val="center"/>
        </w:pPr>
        <w:r w:rsidRPr="00C52209">
          <w:rPr>
            <w:rFonts w:ascii="Times New Roman" w:hAnsi="Times New Roman"/>
            <w:sz w:val="28"/>
            <w:szCs w:val="28"/>
          </w:rPr>
          <w:fldChar w:fldCharType="begin"/>
        </w:r>
        <w:r w:rsidR="00775295" w:rsidRPr="00C52209">
          <w:rPr>
            <w:rFonts w:ascii="Times New Roman" w:hAnsi="Times New Roman"/>
            <w:sz w:val="28"/>
            <w:szCs w:val="28"/>
          </w:rPr>
          <w:instrText xml:space="preserve"> PAGE   \* MERGEFORMAT </w:instrText>
        </w:r>
        <w:r w:rsidRPr="00C52209">
          <w:rPr>
            <w:rFonts w:ascii="Times New Roman" w:hAnsi="Times New Roman"/>
            <w:sz w:val="28"/>
            <w:szCs w:val="28"/>
          </w:rPr>
          <w:fldChar w:fldCharType="separate"/>
        </w:r>
        <w:r w:rsidR="00EE6615">
          <w:rPr>
            <w:rFonts w:ascii="Times New Roman" w:hAnsi="Times New Roman"/>
            <w:noProof/>
            <w:sz w:val="28"/>
            <w:szCs w:val="28"/>
          </w:rPr>
          <w:t>4</w:t>
        </w:r>
        <w:r w:rsidRPr="00C52209">
          <w:rPr>
            <w:rFonts w:ascii="Times New Roman" w:hAnsi="Times New Roman"/>
            <w:sz w:val="28"/>
            <w:szCs w:val="28"/>
          </w:rPr>
          <w:fldChar w:fldCharType="end"/>
        </w:r>
      </w:p>
    </w:sdtContent>
  </w:sdt>
  <w:p w:rsidR="00775295" w:rsidRDefault="007752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3425A"/>
    <w:multiLevelType w:val="hybridMultilevel"/>
    <w:tmpl w:val="2892F79E"/>
    <w:lvl w:ilvl="0" w:tplc="477256A4">
      <w:start w:val="1"/>
      <w:numFmt w:val="bullet"/>
      <w:lvlText w:val="-"/>
      <w:lvlJc w:val="left"/>
      <w:pPr>
        <w:tabs>
          <w:tab w:val="num" w:pos="1605"/>
        </w:tabs>
        <w:ind w:left="1605" w:hanging="885"/>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88826F5"/>
    <w:multiLevelType w:val="hybridMultilevel"/>
    <w:tmpl w:val="DBDE6D0E"/>
    <w:lvl w:ilvl="0" w:tplc="A0F8F5C2">
      <w:start w:val="1"/>
      <w:numFmt w:val="decimal"/>
      <w:lvlText w:val="%1."/>
      <w:lvlJc w:val="left"/>
      <w:pPr>
        <w:ind w:left="1080" w:hanging="360"/>
      </w:pPr>
      <w:rPr>
        <w:rFonts w:cs="Times New Roman" w:hint="default"/>
      </w:rPr>
    </w:lvl>
    <w:lvl w:ilvl="1" w:tplc="042A0019" w:tentative="1">
      <w:start w:val="1"/>
      <w:numFmt w:val="lowerLetter"/>
      <w:lvlText w:val="%2."/>
      <w:lvlJc w:val="left"/>
      <w:pPr>
        <w:ind w:left="1800" w:hanging="360"/>
      </w:pPr>
      <w:rPr>
        <w:rFonts w:cs="Times New Roman"/>
      </w:rPr>
    </w:lvl>
    <w:lvl w:ilvl="2" w:tplc="042A001B" w:tentative="1">
      <w:start w:val="1"/>
      <w:numFmt w:val="lowerRoman"/>
      <w:lvlText w:val="%3."/>
      <w:lvlJc w:val="right"/>
      <w:pPr>
        <w:ind w:left="2520" w:hanging="180"/>
      </w:pPr>
      <w:rPr>
        <w:rFonts w:cs="Times New Roman"/>
      </w:rPr>
    </w:lvl>
    <w:lvl w:ilvl="3" w:tplc="042A000F" w:tentative="1">
      <w:start w:val="1"/>
      <w:numFmt w:val="decimal"/>
      <w:lvlText w:val="%4."/>
      <w:lvlJc w:val="left"/>
      <w:pPr>
        <w:ind w:left="3240" w:hanging="360"/>
      </w:pPr>
      <w:rPr>
        <w:rFonts w:cs="Times New Roman"/>
      </w:rPr>
    </w:lvl>
    <w:lvl w:ilvl="4" w:tplc="042A0019" w:tentative="1">
      <w:start w:val="1"/>
      <w:numFmt w:val="lowerLetter"/>
      <w:lvlText w:val="%5."/>
      <w:lvlJc w:val="left"/>
      <w:pPr>
        <w:ind w:left="3960" w:hanging="360"/>
      </w:pPr>
      <w:rPr>
        <w:rFonts w:cs="Times New Roman"/>
      </w:rPr>
    </w:lvl>
    <w:lvl w:ilvl="5" w:tplc="042A001B" w:tentative="1">
      <w:start w:val="1"/>
      <w:numFmt w:val="lowerRoman"/>
      <w:lvlText w:val="%6."/>
      <w:lvlJc w:val="right"/>
      <w:pPr>
        <w:ind w:left="4680" w:hanging="180"/>
      </w:pPr>
      <w:rPr>
        <w:rFonts w:cs="Times New Roman"/>
      </w:rPr>
    </w:lvl>
    <w:lvl w:ilvl="6" w:tplc="042A000F" w:tentative="1">
      <w:start w:val="1"/>
      <w:numFmt w:val="decimal"/>
      <w:lvlText w:val="%7."/>
      <w:lvlJc w:val="left"/>
      <w:pPr>
        <w:ind w:left="5400" w:hanging="360"/>
      </w:pPr>
      <w:rPr>
        <w:rFonts w:cs="Times New Roman"/>
      </w:rPr>
    </w:lvl>
    <w:lvl w:ilvl="7" w:tplc="042A0019" w:tentative="1">
      <w:start w:val="1"/>
      <w:numFmt w:val="lowerLetter"/>
      <w:lvlText w:val="%8."/>
      <w:lvlJc w:val="left"/>
      <w:pPr>
        <w:ind w:left="6120" w:hanging="360"/>
      </w:pPr>
      <w:rPr>
        <w:rFonts w:cs="Times New Roman"/>
      </w:rPr>
    </w:lvl>
    <w:lvl w:ilvl="8" w:tplc="042A001B" w:tentative="1">
      <w:start w:val="1"/>
      <w:numFmt w:val="lowerRoman"/>
      <w:lvlText w:val="%9."/>
      <w:lvlJc w:val="right"/>
      <w:pPr>
        <w:ind w:left="6840" w:hanging="180"/>
      </w:pPr>
      <w:rPr>
        <w:rFonts w:cs="Times New Roman"/>
      </w:rPr>
    </w:lvl>
  </w:abstractNum>
  <w:abstractNum w:abstractNumId="2">
    <w:nsid w:val="51795E81"/>
    <w:multiLevelType w:val="hybridMultilevel"/>
    <w:tmpl w:val="7A1E68BE"/>
    <w:lvl w:ilvl="0" w:tplc="3D5EC434">
      <w:start w:val="4"/>
      <w:numFmt w:val="bullet"/>
      <w:lvlText w:val="-"/>
      <w:lvlJc w:val="left"/>
      <w:pPr>
        <w:ind w:left="4455" w:hanging="360"/>
      </w:pPr>
      <w:rPr>
        <w:rFonts w:ascii="Times New Roman" w:eastAsia="Times New Roman" w:hAnsi="Times New Roman" w:hint="default"/>
      </w:rPr>
    </w:lvl>
    <w:lvl w:ilvl="1" w:tplc="042A0003" w:tentative="1">
      <w:start w:val="1"/>
      <w:numFmt w:val="bullet"/>
      <w:lvlText w:val="o"/>
      <w:lvlJc w:val="left"/>
      <w:pPr>
        <w:ind w:left="5175" w:hanging="360"/>
      </w:pPr>
      <w:rPr>
        <w:rFonts w:ascii="Courier New" w:hAnsi="Courier New" w:hint="default"/>
      </w:rPr>
    </w:lvl>
    <w:lvl w:ilvl="2" w:tplc="042A0005" w:tentative="1">
      <w:start w:val="1"/>
      <w:numFmt w:val="bullet"/>
      <w:lvlText w:val=""/>
      <w:lvlJc w:val="left"/>
      <w:pPr>
        <w:ind w:left="5895" w:hanging="360"/>
      </w:pPr>
      <w:rPr>
        <w:rFonts w:ascii="Wingdings" w:hAnsi="Wingdings" w:hint="default"/>
      </w:rPr>
    </w:lvl>
    <w:lvl w:ilvl="3" w:tplc="042A0001" w:tentative="1">
      <w:start w:val="1"/>
      <w:numFmt w:val="bullet"/>
      <w:lvlText w:val=""/>
      <w:lvlJc w:val="left"/>
      <w:pPr>
        <w:ind w:left="6615" w:hanging="360"/>
      </w:pPr>
      <w:rPr>
        <w:rFonts w:ascii="Symbol" w:hAnsi="Symbol" w:hint="default"/>
      </w:rPr>
    </w:lvl>
    <w:lvl w:ilvl="4" w:tplc="042A0003" w:tentative="1">
      <w:start w:val="1"/>
      <w:numFmt w:val="bullet"/>
      <w:lvlText w:val="o"/>
      <w:lvlJc w:val="left"/>
      <w:pPr>
        <w:ind w:left="7335" w:hanging="360"/>
      </w:pPr>
      <w:rPr>
        <w:rFonts w:ascii="Courier New" w:hAnsi="Courier New" w:hint="default"/>
      </w:rPr>
    </w:lvl>
    <w:lvl w:ilvl="5" w:tplc="042A0005" w:tentative="1">
      <w:start w:val="1"/>
      <w:numFmt w:val="bullet"/>
      <w:lvlText w:val=""/>
      <w:lvlJc w:val="left"/>
      <w:pPr>
        <w:ind w:left="8055" w:hanging="360"/>
      </w:pPr>
      <w:rPr>
        <w:rFonts w:ascii="Wingdings" w:hAnsi="Wingdings" w:hint="default"/>
      </w:rPr>
    </w:lvl>
    <w:lvl w:ilvl="6" w:tplc="042A0001" w:tentative="1">
      <w:start w:val="1"/>
      <w:numFmt w:val="bullet"/>
      <w:lvlText w:val=""/>
      <w:lvlJc w:val="left"/>
      <w:pPr>
        <w:ind w:left="8775" w:hanging="360"/>
      </w:pPr>
      <w:rPr>
        <w:rFonts w:ascii="Symbol" w:hAnsi="Symbol" w:hint="default"/>
      </w:rPr>
    </w:lvl>
    <w:lvl w:ilvl="7" w:tplc="042A0003" w:tentative="1">
      <w:start w:val="1"/>
      <w:numFmt w:val="bullet"/>
      <w:lvlText w:val="o"/>
      <w:lvlJc w:val="left"/>
      <w:pPr>
        <w:ind w:left="9495" w:hanging="360"/>
      </w:pPr>
      <w:rPr>
        <w:rFonts w:ascii="Courier New" w:hAnsi="Courier New" w:hint="default"/>
      </w:rPr>
    </w:lvl>
    <w:lvl w:ilvl="8" w:tplc="042A0005" w:tentative="1">
      <w:start w:val="1"/>
      <w:numFmt w:val="bullet"/>
      <w:lvlText w:val=""/>
      <w:lvlJc w:val="left"/>
      <w:pPr>
        <w:ind w:left="10215" w:hanging="360"/>
      </w:pPr>
      <w:rPr>
        <w:rFonts w:ascii="Wingdings" w:hAnsi="Wingdings" w:hint="default"/>
      </w:rPr>
    </w:lvl>
  </w:abstractNum>
  <w:abstractNum w:abstractNumId="3">
    <w:nsid w:val="60EF0C88"/>
    <w:multiLevelType w:val="hybridMultilevel"/>
    <w:tmpl w:val="E668C160"/>
    <w:lvl w:ilvl="0" w:tplc="989E4C98">
      <w:start w:val="4"/>
      <w:numFmt w:val="bullet"/>
      <w:lvlText w:val="-"/>
      <w:lvlJc w:val="left"/>
      <w:pPr>
        <w:ind w:left="4410" w:hanging="360"/>
      </w:pPr>
      <w:rPr>
        <w:rFonts w:ascii="Times New Roman" w:eastAsia="Times New Roman" w:hAnsi="Times New Roman" w:hint="default"/>
      </w:rPr>
    </w:lvl>
    <w:lvl w:ilvl="1" w:tplc="042A0003" w:tentative="1">
      <w:start w:val="1"/>
      <w:numFmt w:val="bullet"/>
      <w:lvlText w:val="o"/>
      <w:lvlJc w:val="left"/>
      <w:pPr>
        <w:ind w:left="5130" w:hanging="360"/>
      </w:pPr>
      <w:rPr>
        <w:rFonts w:ascii="Courier New" w:hAnsi="Courier New" w:hint="default"/>
      </w:rPr>
    </w:lvl>
    <w:lvl w:ilvl="2" w:tplc="042A0005" w:tentative="1">
      <w:start w:val="1"/>
      <w:numFmt w:val="bullet"/>
      <w:lvlText w:val=""/>
      <w:lvlJc w:val="left"/>
      <w:pPr>
        <w:ind w:left="5850" w:hanging="360"/>
      </w:pPr>
      <w:rPr>
        <w:rFonts w:ascii="Wingdings" w:hAnsi="Wingdings" w:hint="default"/>
      </w:rPr>
    </w:lvl>
    <w:lvl w:ilvl="3" w:tplc="042A0001" w:tentative="1">
      <w:start w:val="1"/>
      <w:numFmt w:val="bullet"/>
      <w:lvlText w:val=""/>
      <w:lvlJc w:val="left"/>
      <w:pPr>
        <w:ind w:left="6570" w:hanging="360"/>
      </w:pPr>
      <w:rPr>
        <w:rFonts w:ascii="Symbol" w:hAnsi="Symbol" w:hint="default"/>
      </w:rPr>
    </w:lvl>
    <w:lvl w:ilvl="4" w:tplc="042A0003" w:tentative="1">
      <w:start w:val="1"/>
      <w:numFmt w:val="bullet"/>
      <w:lvlText w:val="o"/>
      <w:lvlJc w:val="left"/>
      <w:pPr>
        <w:ind w:left="7290" w:hanging="360"/>
      </w:pPr>
      <w:rPr>
        <w:rFonts w:ascii="Courier New" w:hAnsi="Courier New" w:hint="default"/>
      </w:rPr>
    </w:lvl>
    <w:lvl w:ilvl="5" w:tplc="042A0005" w:tentative="1">
      <w:start w:val="1"/>
      <w:numFmt w:val="bullet"/>
      <w:lvlText w:val=""/>
      <w:lvlJc w:val="left"/>
      <w:pPr>
        <w:ind w:left="8010" w:hanging="360"/>
      </w:pPr>
      <w:rPr>
        <w:rFonts w:ascii="Wingdings" w:hAnsi="Wingdings" w:hint="default"/>
      </w:rPr>
    </w:lvl>
    <w:lvl w:ilvl="6" w:tplc="042A0001" w:tentative="1">
      <w:start w:val="1"/>
      <w:numFmt w:val="bullet"/>
      <w:lvlText w:val=""/>
      <w:lvlJc w:val="left"/>
      <w:pPr>
        <w:ind w:left="8730" w:hanging="360"/>
      </w:pPr>
      <w:rPr>
        <w:rFonts w:ascii="Symbol" w:hAnsi="Symbol" w:hint="default"/>
      </w:rPr>
    </w:lvl>
    <w:lvl w:ilvl="7" w:tplc="042A0003" w:tentative="1">
      <w:start w:val="1"/>
      <w:numFmt w:val="bullet"/>
      <w:lvlText w:val="o"/>
      <w:lvlJc w:val="left"/>
      <w:pPr>
        <w:ind w:left="9450" w:hanging="360"/>
      </w:pPr>
      <w:rPr>
        <w:rFonts w:ascii="Courier New" w:hAnsi="Courier New" w:hint="default"/>
      </w:rPr>
    </w:lvl>
    <w:lvl w:ilvl="8" w:tplc="042A0005" w:tentative="1">
      <w:start w:val="1"/>
      <w:numFmt w:val="bullet"/>
      <w:lvlText w:val=""/>
      <w:lvlJc w:val="left"/>
      <w:pPr>
        <w:ind w:left="1017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20"/>
  <w:drawingGridHorizontalSpacing w:val="110"/>
  <w:displayHorizontalDrawingGridEvery w:val="2"/>
  <w:characterSpacingControl w:val="doNotCompress"/>
  <w:hdrShapeDefaults>
    <o:shapedefaults v:ext="edit" spidmax="51202"/>
  </w:hdrShapeDefaults>
  <w:footnotePr>
    <w:footnote w:id="-1"/>
    <w:footnote w:id="0"/>
  </w:footnotePr>
  <w:endnotePr>
    <w:endnote w:id="-1"/>
    <w:endnote w:id="0"/>
  </w:endnotePr>
  <w:compat/>
  <w:rsids>
    <w:rsidRoot w:val="008F68DA"/>
    <w:rsid w:val="000126CC"/>
    <w:rsid w:val="00043B8B"/>
    <w:rsid w:val="000450AB"/>
    <w:rsid w:val="000658E0"/>
    <w:rsid w:val="000671DC"/>
    <w:rsid w:val="00067E9A"/>
    <w:rsid w:val="00085A65"/>
    <w:rsid w:val="0008660A"/>
    <w:rsid w:val="000C0FC0"/>
    <w:rsid w:val="000D6AEC"/>
    <w:rsid w:val="000E20CE"/>
    <w:rsid w:val="00162EE1"/>
    <w:rsid w:val="00164D4D"/>
    <w:rsid w:val="001B0372"/>
    <w:rsid w:val="001B06DA"/>
    <w:rsid w:val="001E2CE8"/>
    <w:rsid w:val="001E62AB"/>
    <w:rsid w:val="002255F5"/>
    <w:rsid w:val="00230206"/>
    <w:rsid w:val="00233B37"/>
    <w:rsid w:val="00244243"/>
    <w:rsid w:val="00247FCC"/>
    <w:rsid w:val="00262D7A"/>
    <w:rsid w:val="002705E0"/>
    <w:rsid w:val="002A1A33"/>
    <w:rsid w:val="002B4A08"/>
    <w:rsid w:val="002C2950"/>
    <w:rsid w:val="002E4CCA"/>
    <w:rsid w:val="002F6F44"/>
    <w:rsid w:val="002F78C5"/>
    <w:rsid w:val="00306F11"/>
    <w:rsid w:val="003124EF"/>
    <w:rsid w:val="00313D44"/>
    <w:rsid w:val="0032389A"/>
    <w:rsid w:val="00326714"/>
    <w:rsid w:val="003315F3"/>
    <w:rsid w:val="00355F85"/>
    <w:rsid w:val="00360131"/>
    <w:rsid w:val="00393855"/>
    <w:rsid w:val="003D274A"/>
    <w:rsid w:val="003D7A53"/>
    <w:rsid w:val="003E0898"/>
    <w:rsid w:val="003E1053"/>
    <w:rsid w:val="003F24AC"/>
    <w:rsid w:val="0040305B"/>
    <w:rsid w:val="00412772"/>
    <w:rsid w:val="004165CF"/>
    <w:rsid w:val="0044120A"/>
    <w:rsid w:val="00465879"/>
    <w:rsid w:val="0048041F"/>
    <w:rsid w:val="004A00D6"/>
    <w:rsid w:val="004C3D84"/>
    <w:rsid w:val="004C61BF"/>
    <w:rsid w:val="004D43F6"/>
    <w:rsid w:val="004D793A"/>
    <w:rsid w:val="004F0ACA"/>
    <w:rsid w:val="00500750"/>
    <w:rsid w:val="00501946"/>
    <w:rsid w:val="00501AD0"/>
    <w:rsid w:val="00506826"/>
    <w:rsid w:val="0051392E"/>
    <w:rsid w:val="0051784F"/>
    <w:rsid w:val="005267CE"/>
    <w:rsid w:val="00533D11"/>
    <w:rsid w:val="00555713"/>
    <w:rsid w:val="00566A4E"/>
    <w:rsid w:val="00581A14"/>
    <w:rsid w:val="005829EE"/>
    <w:rsid w:val="00584E7C"/>
    <w:rsid w:val="00585279"/>
    <w:rsid w:val="005C24F0"/>
    <w:rsid w:val="005C7EA1"/>
    <w:rsid w:val="005D1495"/>
    <w:rsid w:val="005D6E75"/>
    <w:rsid w:val="005E5653"/>
    <w:rsid w:val="005F5585"/>
    <w:rsid w:val="0061305D"/>
    <w:rsid w:val="00624D21"/>
    <w:rsid w:val="0063069D"/>
    <w:rsid w:val="00653027"/>
    <w:rsid w:val="00653469"/>
    <w:rsid w:val="00661401"/>
    <w:rsid w:val="00662E91"/>
    <w:rsid w:val="0066351E"/>
    <w:rsid w:val="00671255"/>
    <w:rsid w:val="00685D5A"/>
    <w:rsid w:val="006A1C9B"/>
    <w:rsid w:val="006A51A2"/>
    <w:rsid w:val="006D5811"/>
    <w:rsid w:val="006E488F"/>
    <w:rsid w:val="006E6D87"/>
    <w:rsid w:val="006E783E"/>
    <w:rsid w:val="006E7C5F"/>
    <w:rsid w:val="006F1150"/>
    <w:rsid w:val="006F2493"/>
    <w:rsid w:val="006F6B85"/>
    <w:rsid w:val="00703250"/>
    <w:rsid w:val="007314FA"/>
    <w:rsid w:val="00754889"/>
    <w:rsid w:val="007739D4"/>
    <w:rsid w:val="00774380"/>
    <w:rsid w:val="00775295"/>
    <w:rsid w:val="00776D6F"/>
    <w:rsid w:val="007A1264"/>
    <w:rsid w:val="007B429A"/>
    <w:rsid w:val="007C0F05"/>
    <w:rsid w:val="007D20BB"/>
    <w:rsid w:val="007D57CE"/>
    <w:rsid w:val="007F2B59"/>
    <w:rsid w:val="00813057"/>
    <w:rsid w:val="008139F8"/>
    <w:rsid w:val="008354B1"/>
    <w:rsid w:val="0083576A"/>
    <w:rsid w:val="008429F0"/>
    <w:rsid w:val="00847C2B"/>
    <w:rsid w:val="008520AF"/>
    <w:rsid w:val="00854022"/>
    <w:rsid w:val="0086597E"/>
    <w:rsid w:val="00886560"/>
    <w:rsid w:val="0089685B"/>
    <w:rsid w:val="008B1029"/>
    <w:rsid w:val="008E15E7"/>
    <w:rsid w:val="008F155D"/>
    <w:rsid w:val="008F68DA"/>
    <w:rsid w:val="00913FB9"/>
    <w:rsid w:val="00915BD7"/>
    <w:rsid w:val="00915EC9"/>
    <w:rsid w:val="00942B28"/>
    <w:rsid w:val="00965751"/>
    <w:rsid w:val="009734A6"/>
    <w:rsid w:val="0098673B"/>
    <w:rsid w:val="009A3D0F"/>
    <w:rsid w:val="009A5982"/>
    <w:rsid w:val="009C04EA"/>
    <w:rsid w:val="009C069F"/>
    <w:rsid w:val="009C1A63"/>
    <w:rsid w:val="009D5258"/>
    <w:rsid w:val="009F57E5"/>
    <w:rsid w:val="009F6165"/>
    <w:rsid w:val="00A35491"/>
    <w:rsid w:val="00A35C2F"/>
    <w:rsid w:val="00A36A0A"/>
    <w:rsid w:val="00A42411"/>
    <w:rsid w:val="00A57E45"/>
    <w:rsid w:val="00A73E64"/>
    <w:rsid w:val="00AA4A30"/>
    <w:rsid w:val="00AA7F60"/>
    <w:rsid w:val="00AB5DD3"/>
    <w:rsid w:val="00AE296C"/>
    <w:rsid w:val="00B05556"/>
    <w:rsid w:val="00B144D4"/>
    <w:rsid w:val="00B667C8"/>
    <w:rsid w:val="00B94D03"/>
    <w:rsid w:val="00B96026"/>
    <w:rsid w:val="00B9618D"/>
    <w:rsid w:val="00B97AE2"/>
    <w:rsid w:val="00BF2FFD"/>
    <w:rsid w:val="00C13A5D"/>
    <w:rsid w:val="00C232AE"/>
    <w:rsid w:val="00C331F2"/>
    <w:rsid w:val="00C521CF"/>
    <w:rsid w:val="00C52209"/>
    <w:rsid w:val="00C60402"/>
    <w:rsid w:val="00C90AB6"/>
    <w:rsid w:val="00C92AD0"/>
    <w:rsid w:val="00CD0A1E"/>
    <w:rsid w:val="00CD5E5B"/>
    <w:rsid w:val="00CD6534"/>
    <w:rsid w:val="00CD734E"/>
    <w:rsid w:val="00CE4500"/>
    <w:rsid w:val="00CE7182"/>
    <w:rsid w:val="00CF57D7"/>
    <w:rsid w:val="00CF6066"/>
    <w:rsid w:val="00D2684E"/>
    <w:rsid w:val="00D45090"/>
    <w:rsid w:val="00D65B53"/>
    <w:rsid w:val="00D7284F"/>
    <w:rsid w:val="00D72C02"/>
    <w:rsid w:val="00DA31BB"/>
    <w:rsid w:val="00DA6CF0"/>
    <w:rsid w:val="00DC08E3"/>
    <w:rsid w:val="00DD5E73"/>
    <w:rsid w:val="00DF4B2C"/>
    <w:rsid w:val="00E04263"/>
    <w:rsid w:val="00E04548"/>
    <w:rsid w:val="00E450A5"/>
    <w:rsid w:val="00E47FCD"/>
    <w:rsid w:val="00EB65FC"/>
    <w:rsid w:val="00EB7266"/>
    <w:rsid w:val="00EC01AB"/>
    <w:rsid w:val="00EE515E"/>
    <w:rsid w:val="00EE6615"/>
    <w:rsid w:val="00EF291B"/>
    <w:rsid w:val="00F0274D"/>
    <w:rsid w:val="00F07D00"/>
    <w:rsid w:val="00F1750D"/>
    <w:rsid w:val="00F24060"/>
    <w:rsid w:val="00F240D6"/>
    <w:rsid w:val="00F408A7"/>
    <w:rsid w:val="00F408DF"/>
    <w:rsid w:val="00F51B03"/>
    <w:rsid w:val="00F52241"/>
    <w:rsid w:val="00F55749"/>
    <w:rsid w:val="00F57CEE"/>
    <w:rsid w:val="00F649A9"/>
    <w:rsid w:val="00F6634B"/>
    <w:rsid w:val="00F6701D"/>
    <w:rsid w:val="00F72056"/>
    <w:rsid w:val="00F72EE6"/>
    <w:rsid w:val="00F77104"/>
    <w:rsid w:val="00F81C9D"/>
    <w:rsid w:val="00F83FAF"/>
    <w:rsid w:val="00F86205"/>
    <w:rsid w:val="00F90461"/>
    <w:rsid w:val="00FB42D6"/>
    <w:rsid w:val="00FC4179"/>
    <w:rsid w:val="00FE44EC"/>
    <w:rsid w:val="00FF26CC"/>
    <w:rsid w:val="00FF5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2"/>
    <o:shapelayout v:ext="edit">
      <o:idmap v:ext="edit" data="1"/>
      <o:rules v:ext="edit">
        <o:r id="V:Rule6"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F05"/>
    <w:pPr>
      <w:spacing w:after="200" w:line="276" w:lineRule="auto"/>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7D00"/>
    <w:pPr>
      <w:ind w:left="720"/>
      <w:contextualSpacing/>
    </w:pPr>
  </w:style>
  <w:style w:type="table" w:styleId="TableGrid">
    <w:name w:val="Table Grid"/>
    <w:basedOn w:val="TableNormal"/>
    <w:uiPriority w:val="99"/>
    <w:rsid w:val="00F51B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2F6F44"/>
    <w:pPr>
      <w:spacing w:after="120" w:line="480" w:lineRule="auto"/>
    </w:pPr>
    <w:rPr>
      <w:rFonts w:ascii=".VnTime" w:eastAsia="Times New Roman" w:hAnsi=".VnTime"/>
      <w:sz w:val="28"/>
      <w:szCs w:val="24"/>
      <w:lang w:val="en-US"/>
    </w:rPr>
  </w:style>
  <w:style w:type="character" w:customStyle="1" w:styleId="BodyText2Char">
    <w:name w:val="Body Text 2 Char"/>
    <w:basedOn w:val="DefaultParagraphFont"/>
    <w:link w:val="BodyText2"/>
    <w:rsid w:val="002F6F44"/>
    <w:rPr>
      <w:rFonts w:ascii=".VnTime" w:eastAsia="Times New Roman" w:hAnsi=".VnTime"/>
      <w:sz w:val="28"/>
      <w:szCs w:val="24"/>
    </w:rPr>
  </w:style>
  <w:style w:type="character" w:styleId="Hyperlink">
    <w:name w:val="Hyperlink"/>
    <w:basedOn w:val="DefaultParagraphFont"/>
    <w:uiPriority w:val="99"/>
    <w:unhideWhenUsed/>
    <w:rsid w:val="002F6F44"/>
    <w:rPr>
      <w:color w:val="0000FF"/>
      <w:u w:val="single"/>
    </w:rPr>
  </w:style>
  <w:style w:type="paragraph" w:styleId="NoSpacing">
    <w:name w:val="No Spacing"/>
    <w:uiPriority w:val="1"/>
    <w:qFormat/>
    <w:rsid w:val="002F6F44"/>
    <w:rPr>
      <w:rFonts w:ascii="Times New Roman" w:eastAsia="Times New Roman" w:hAnsi="Times New Roman"/>
      <w:sz w:val="24"/>
      <w:szCs w:val="24"/>
    </w:rPr>
  </w:style>
  <w:style w:type="paragraph" w:styleId="Header">
    <w:name w:val="header"/>
    <w:basedOn w:val="Normal"/>
    <w:link w:val="HeaderChar"/>
    <w:uiPriority w:val="99"/>
    <w:unhideWhenUsed/>
    <w:rsid w:val="00D72C02"/>
    <w:pPr>
      <w:tabs>
        <w:tab w:val="center" w:pos="4680"/>
        <w:tab w:val="right" w:pos="9360"/>
      </w:tabs>
    </w:pPr>
  </w:style>
  <w:style w:type="character" w:customStyle="1" w:styleId="HeaderChar">
    <w:name w:val="Header Char"/>
    <w:basedOn w:val="DefaultParagraphFont"/>
    <w:link w:val="Header"/>
    <w:uiPriority w:val="99"/>
    <w:rsid w:val="00D72C02"/>
    <w:rPr>
      <w:sz w:val="22"/>
      <w:szCs w:val="22"/>
      <w:lang w:val="vi-VN"/>
    </w:rPr>
  </w:style>
  <w:style w:type="paragraph" w:styleId="Footer">
    <w:name w:val="footer"/>
    <w:basedOn w:val="Normal"/>
    <w:link w:val="FooterChar"/>
    <w:uiPriority w:val="99"/>
    <w:unhideWhenUsed/>
    <w:rsid w:val="00D72C02"/>
    <w:pPr>
      <w:tabs>
        <w:tab w:val="center" w:pos="4680"/>
        <w:tab w:val="right" w:pos="9360"/>
      </w:tabs>
    </w:pPr>
  </w:style>
  <w:style w:type="character" w:customStyle="1" w:styleId="FooterChar">
    <w:name w:val="Footer Char"/>
    <w:basedOn w:val="DefaultParagraphFont"/>
    <w:link w:val="Footer"/>
    <w:uiPriority w:val="99"/>
    <w:rsid w:val="00D72C02"/>
    <w:rPr>
      <w:sz w:val="22"/>
      <w:szCs w:val="22"/>
      <w:lang w:val="vi-V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athoangminh.com/linh-vuc-tu-van/thanh-lap-doanh-nghiep/195-thanh-lap-doanh-nghiep-thanh-lap-cong-ty.html" TargetMode="External"/><Relationship Id="rId3" Type="http://schemas.openxmlformats.org/officeDocument/2006/relationships/settings" Target="settings.xml"/><Relationship Id="rId7" Type="http://schemas.openxmlformats.org/officeDocument/2006/relationships/hyperlink" Target="http://www.luathoangminh.com/linh-vuc-tu-van/thanh-lap-doanh-nghiep/195-thanh-lap-doanh-nghiep-thanh-lap-cong-t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nguyenminhhang</dc:creator>
  <cp:lastModifiedBy>Nguyen Thi Thu Phuong1</cp:lastModifiedBy>
  <cp:revision>3</cp:revision>
  <cp:lastPrinted>2025-03-18T02:04:00Z</cp:lastPrinted>
  <dcterms:created xsi:type="dcterms:W3CDTF">2025-04-09T09:16:00Z</dcterms:created>
  <dcterms:modified xsi:type="dcterms:W3CDTF">2025-04-09T09:26:00Z</dcterms:modified>
</cp:coreProperties>
</file>